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03FEEFA4" w:rsidR="00387663" w:rsidRPr="00162A82" w:rsidRDefault="009317D9" w:rsidP="003509B2">
      <w:pPr>
        <w:pStyle w:val="NurText"/>
        <w:ind w:right="-851"/>
        <w:rPr>
          <w:rFonts w:ascii="Open Sans" w:hAnsi="Open Sans" w:cs="Open Sans"/>
          <w:bCs/>
          <w:sz w:val="24"/>
          <w:szCs w:val="24"/>
        </w:rPr>
      </w:pPr>
      <w:r>
        <w:rPr>
          <w:rFonts w:ascii="Open Sans" w:hAnsi="Open Sans"/>
          <w:sz w:val="24"/>
        </w:rPr>
        <w:t xml:space="preserve">Ampliamento della tecnologia Speed di Lorch Schweißtechnik </w:t>
      </w:r>
    </w:p>
    <w:p w14:paraId="6C77F943" w14:textId="21C013F6" w:rsidR="00125C8C" w:rsidRPr="00162A82" w:rsidRDefault="003509B2" w:rsidP="007F2B3D">
      <w:pPr>
        <w:pStyle w:val="NurText"/>
        <w:ind w:right="142"/>
        <w:rPr>
          <w:rFonts w:ascii="Open Sans" w:hAnsi="Open Sans" w:cs="Open Sans"/>
          <w:b/>
          <w:sz w:val="28"/>
          <w:szCs w:val="28"/>
        </w:rPr>
      </w:pPr>
      <w:r>
        <w:rPr>
          <w:rFonts w:ascii="Open Sans" w:hAnsi="Open Sans"/>
          <w:b/>
          <w:sz w:val="28"/>
        </w:rPr>
        <w:br/>
        <w:t xml:space="preserve">La saldatura dell'alluminio e dell'acciaio inox diventa ancora migliore e più efficiente grazie a </w:t>
      </w:r>
      <w:proofErr w:type="spellStart"/>
      <w:r>
        <w:rPr>
          <w:rFonts w:ascii="Open Sans" w:hAnsi="Open Sans"/>
          <w:b/>
          <w:sz w:val="28"/>
        </w:rPr>
        <w:t>SpeedWave</w:t>
      </w:r>
      <w:proofErr w:type="spellEnd"/>
      <w:r>
        <w:rPr>
          <w:rFonts w:ascii="Open Sans" w:hAnsi="Open Sans"/>
          <w:b/>
          <w:sz w:val="28"/>
        </w:rPr>
        <w:t xml:space="preserve"> XT e alla funzione "Twin" di Lorch.</w:t>
      </w:r>
    </w:p>
    <w:p w14:paraId="0A2F18CB" w14:textId="77777777" w:rsidR="00125C8C" w:rsidRPr="00162A82" w:rsidRDefault="00125C8C" w:rsidP="00125C8C">
      <w:pPr>
        <w:pStyle w:val="NurText"/>
        <w:ind w:right="283"/>
        <w:rPr>
          <w:rFonts w:ascii="Open Sans" w:hAnsi="Open Sans" w:cs="Open Sans"/>
          <w:b/>
          <w:sz w:val="28"/>
          <w:szCs w:val="28"/>
        </w:rPr>
      </w:pPr>
    </w:p>
    <w:p w14:paraId="7D5372C6" w14:textId="46B529F7" w:rsidR="00387663" w:rsidRPr="00162A82" w:rsidRDefault="00D04300" w:rsidP="00387663">
      <w:pPr>
        <w:ind w:right="-1"/>
        <w:rPr>
          <w:rFonts w:ascii="Open Sans" w:hAnsi="Open Sans" w:cs="Open Sans"/>
          <w:i/>
          <w:iCs/>
          <w:sz w:val="20"/>
          <w:szCs w:val="20"/>
        </w:rPr>
      </w:pPr>
      <w:r>
        <w:rPr>
          <w:rFonts w:ascii="Open Sans" w:hAnsi="Open Sans"/>
          <w:i/>
          <w:sz w:val="20"/>
        </w:rPr>
        <w:t xml:space="preserve">I processi Speed di Lorch Schweißtechnik definiscono gli standard di riferimento per la saldatura MIG-MAG. Il collaudato </w:t>
      </w:r>
      <w:proofErr w:type="spellStart"/>
      <w:r>
        <w:rPr>
          <w:rFonts w:ascii="Open Sans" w:hAnsi="Open Sans"/>
          <w:i/>
          <w:sz w:val="20"/>
        </w:rPr>
        <w:t>TwinPulse</w:t>
      </w:r>
      <w:proofErr w:type="spellEnd"/>
      <w:r>
        <w:rPr>
          <w:rFonts w:ascii="Open Sans" w:hAnsi="Open Sans"/>
          <w:i/>
          <w:sz w:val="20"/>
        </w:rPr>
        <w:t xml:space="preserve"> è disponibile come funzione Twin attivabile in tutti i tipi di processi MIG/MAG non ciclici. Utilizzando </w:t>
      </w:r>
      <w:proofErr w:type="spellStart"/>
      <w:r>
        <w:rPr>
          <w:rFonts w:ascii="Open Sans" w:hAnsi="Open Sans"/>
          <w:i/>
          <w:sz w:val="20"/>
        </w:rPr>
        <w:t>SpeedWave</w:t>
      </w:r>
      <w:proofErr w:type="spellEnd"/>
      <w:r>
        <w:rPr>
          <w:rFonts w:ascii="Open Sans" w:hAnsi="Open Sans"/>
          <w:i/>
          <w:sz w:val="20"/>
        </w:rPr>
        <w:t xml:space="preserve"> XT, gli utenti dispongono di un altro processo di saldatura ciclico ad alte prestazioni per applicazioni in alluminio con spessori medi ed elevati e nei tipi d'acciaio al cromo-nichel. Inoltre, Lorch amplia in modo significativo la sua gamma di curve </w:t>
      </w:r>
      <w:r w:rsidR="001401BE">
        <w:rPr>
          <w:rFonts w:ascii="Open Sans" w:hAnsi="Open Sans"/>
          <w:i/>
          <w:sz w:val="20"/>
        </w:rPr>
        <w:t xml:space="preserve">sinergiche </w:t>
      </w:r>
      <w:r>
        <w:rPr>
          <w:rFonts w:ascii="Open Sans" w:hAnsi="Open Sans"/>
          <w:i/>
          <w:sz w:val="20"/>
        </w:rPr>
        <w:t>per i tipi d</w:t>
      </w:r>
      <w:r w:rsidR="001401BE">
        <w:rPr>
          <w:rFonts w:ascii="Open Sans" w:hAnsi="Open Sans"/>
          <w:i/>
          <w:sz w:val="20"/>
        </w:rPr>
        <w:t xml:space="preserve">i </w:t>
      </w:r>
      <w:r>
        <w:rPr>
          <w:rFonts w:ascii="Open Sans" w:hAnsi="Open Sans"/>
          <w:i/>
          <w:sz w:val="20"/>
        </w:rPr>
        <w:t xml:space="preserve">acciaio ad alta resistenza difficili da saldare.  </w:t>
      </w:r>
    </w:p>
    <w:p w14:paraId="7BD80B98" w14:textId="553ACF8A" w:rsidR="004D1405" w:rsidRPr="00162A82" w:rsidRDefault="00A00FF8" w:rsidP="004D1405">
      <w:pPr>
        <w:ind w:right="-1"/>
        <w:rPr>
          <w:rFonts w:ascii="Open Sans" w:hAnsi="Open Sans" w:cs="Open Sans"/>
          <w:sz w:val="20"/>
          <w:szCs w:val="20"/>
        </w:rPr>
      </w:pPr>
      <w:r>
        <w:rPr>
          <w:rFonts w:ascii="Open Sans" w:hAnsi="Open Sans"/>
          <w:sz w:val="20"/>
        </w:rPr>
        <w:t>La saldatura dell'alluminio e dei tipi d</w:t>
      </w:r>
      <w:r w:rsidR="001401BE">
        <w:rPr>
          <w:rFonts w:ascii="Open Sans" w:hAnsi="Open Sans"/>
          <w:sz w:val="20"/>
        </w:rPr>
        <w:t xml:space="preserve">i </w:t>
      </w:r>
      <w:r>
        <w:rPr>
          <w:rFonts w:ascii="Open Sans" w:hAnsi="Open Sans"/>
          <w:sz w:val="20"/>
        </w:rPr>
        <w:t xml:space="preserve">acciaio al cromo-nichel presenta requisiti particolarmente elevati per gli operatori. Per la </w:t>
      </w:r>
      <w:r w:rsidR="001401BE">
        <w:rPr>
          <w:rFonts w:ascii="Open Sans" w:hAnsi="Open Sans"/>
          <w:sz w:val="20"/>
        </w:rPr>
        <w:t xml:space="preserve">sua </w:t>
      </w:r>
      <w:r>
        <w:rPr>
          <w:rFonts w:ascii="Open Sans" w:hAnsi="Open Sans"/>
          <w:sz w:val="20"/>
        </w:rPr>
        <w:t xml:space="preserve">nuova ammiraglia </w:t>
      </w:r>
      <w:proofErr w:type="spellStart"/>
      <w:r>
        <w:rPr>
          <w:rFonts w:ascii="Open Sans" w:hAnsi="Open Sans"/>
          <w:sz w:val="20"/>
        </w:rPr>
        <w:t>iQS</w:t>
      </w:r>
      <w:proofErr w:type="spellEnd"/>
      <w:r>
        <w:rPr>
          <w:rFonts w:ascii="Open Sans" w:hAnsi="Open Sans"/>
          <w:sz w:val="20"/>
        </w:rPr>
        <w:t xml:space="preserve">, Lorch Schweißtechnik estende i vantaggi applicativi del collaudato </w:t>
      </w:r>
      <w:proofErr w:type="spellStart"/>
      <w:r>
        <w:rPr>
          <w:rFonts w:ascii="Open Sans" w:hAnsi="Open Sans"/>
          <w:sz w:val="20"/>
        </w:rPr>
        <w:t>TwinPulse</w:t>
      </w:r>
      <w:proofErr w:type="spellEnd"/>
      <w:r>
        <w:rPr>
          <w:rFonts w:ascii="Open Sans" w:hAnsi="Open Sans"/>
          <w:sz w:val="20"/>
        </w:rPr>
        <w:t xml:space="preserve"> a tutti i processi non ciclici Speed di Lorch avvalendosi della nuova funzione Twin. Con </w:t>
      </w:r>
      <w:proofErr w:type="spellStart"/>
      <w:r>
        <w:rPr>
          <w:rFonts w:ascii="Open Sans" w:hAnsi="Open Sans"/>
          <w:sz w:val="20"/>
        </w:rPr>
        <w:t>iQS</w:t>
      </w:r>
      <w:proofErr w:type="spellEnd"/>
      <w:r>
        <w:rPr>
          <w:rFonts w:ascii="Open Sans" w:hAnsi="Open Sans"/>
          <w:sz w:val="20"/>
        </w:rPr>
        <w:t xml:space="preserve"> si aggiunge anche il nuovo processo ciclico di saldatura </w:t>
      </w:r>
      <w:proofErr w:type="spellStart"/>
      <w:r>
        <w:rPr>
          <w:rFonts w:ascii="Open Sans" w:hAnsi="Open Sans"/>
          <w:sz w:val="20"/>
        </w:rPr>
        <w:t>SpeedWave</w:t>
      </w:r>
      <w:proofErr w:type="spellEnd"/>
      <w:r>
        <w:rPr>
          <w:rFonts w:ascii="Open Sans" w:hAnsi="Open Sans"/>
          <w:sz w:val="20"/>
        </w:rPr>
        <w:t xml:space="preserve"> XT, che riduce la formazione di pori e la tendenza alle cricche del cordone di saldatura. Per quanto riguarda il processo di saldatura, si tratta di un arco pulsato modificato che influisce sul bagno fuso con un'energia aggiuntiva che varia ciclicamente e una frequenza ("</w:t>
      </w:r>
      <w:proofErr w:type="spellStart"/>
      <w:r>
        <w:rPr>
          <w:rFonts w:ascii="Open Sans" w:hAnsi="Open Sans"/>
          <w:sz w:val="20"/>
        </w:rPr>
        <w:t>Wave</w:t>
      </w:r>
      <w:proofErr w:type="spellEnd"/>
      <w:r>
        <w:rPr>
          <w:rFonts w:ascii="Open Sans" w:hAnsi="Open Sans"/>
          <w:sz w:val="20"/>
        </w:rPr>
        <w:t xml:space="preserve">") regolabile, mentre l'alimentazione del filo rimane costante. </w:t>
      </w:r>
      <w:proofErr w:type="spellStart"/>
      <w:r>
        <w:rPr>
          <w:rFonts w:ascii="Open Sans" w:hAnsi="Open Sans"/>
          <w:sz w:val="20"/>
        </w:rPr>
        <w:t>SpeedWave</w:t>
      </w:r>
      <w:proofErr w:type="spellEnd"/>
      <w:r>
        <w:rPr>
          <w:rFonts w:ascii="Open Sans" w:hAnsi="Open Sans"/>
          <w:sz w:val="20"/>
        </w:rPr>
        <w:t xml:space="preserve"> XT amplia la gamma dei processi di saldatura, come ad esempio </w:t>
      </w:r>
      <w:proofErr w:type="spellStart"/>
      <w:r>
        <w:rPr>
          <w:rFonts w:ascii="Open Sans" w:hAnsi="Open Sans"/>
          <w:sz w:val="20"/>
        </w:rPr>
        <w:t>SpeedPulse</w:t>
      </w:r>
      <w:proofErr w:type="spellEnd"/>
      <w:r>
        <w:rPr>
          <w:rFonts w:ascii="Open Sans" w:hAnsi="Open Sans"/>
          <w:sz w:val="20"/>
        </w:rPr>
        <w:t xml:space="preserve"> XT e </w:t>
      </w:r>
      <w:proofErr w:type="spellStart"/>
      <w:r>
        <w:rPr>
          <w:rFonts w:ascii="Open Sans" w:hAnsi="Open Sans"/>
          <w:sz w:val="20"/>
        </w:rPr>
        <w:t>TwinPulse</w:t>
      </w:r>
      <w:proofErr w:type="spellEnd"/>
      <w:r>
        <w:rPr>
          <w:rFonts w:ascii="Open Sans" w:hAnsi="Open Sans"/>
          <w:sz w:val="20"/>
        </w:rPr>
        <w:t xml:space="preserve">, finora utilizzati con successo. A questo punto, è possibile impiegare </w:t>
      </w:r>
      <w:proofErr w:type="spellStart"/>
      <w:r>
        <w:rPr>
          <w:rFonts w:ascii="Open Sans" w:hAnsi="Open Sans"/>
          <w:sz w:val="20"/>
        </w:rPr>
        <w:t>SpeedWave</w:t>
      </w:r>
      <w:proofErr w:type="spellEnd"/>
      <w:r>
        <w:rPr>
          <w:rFonts w:ascii="Open Sans" w:hAnsi="Open Sans"/>
          <w:sz w:val="20"/>
        </w:rPr>
        <w:t xml:space="preserve"> XT per requisiti elevati o condizioni dei materiali più complesse. </w:t>
      </w:r>
    </w:p>
    <w:p w14:paraId="237A77F1" w14:textId="639541B0" w:rsidR="004D1405" w:rsidRPr="00162A82" w:rsidRDefault="004D1405" w:rsidP="004D1405">
      <w:pPr>
        <w:ind w:right="-1"/>
        <w:rPr>
          <w:rFonts w:ascii="Open Sans" w:hAnsi="Open Sans" w:cs="Open Sans"/>
          <w:sz w:val="20"/>
          <w:szCs w:val="20"/>
        </w:rPr>
      </w:pPr>
      <w:r>
        <w:rPr>
          <w:rFonts w:ascii="Open Sans" w:hAnsi="Open Sans"/>
          <w:sz w:val="20"/>
        </w:rPr>
        <w:t xml:space="preserve">I vantaggi di </w:t>
      </w:r>
      <w:proofErr w:type="spellStart"/>
      <w:r>
        <w:rPr>
          <w:rFonts w:ascii="Open Sans" w:hAnsi="Open Sans"/>
          <w:sz w:val="20"/>
        </w:rPr>
        <w:t>SpeedWave</w:t>
      </w:r>
      <w:proofErr w:type="spellEnd"/>
      <w:r>
        <w:rPr>
          <w:rFonts w:ascii="Open Sans" w:hAnsi="Open Sans"/>
          <w:sz w:val="20"/>
        </w:rPr>
        <w:t xml:space="preserve"> XT derivano dalla frequenza d'onda che stimola le frequenze naturali medie del bagno fuso incrementando il degassamento e riducendo di conseguenza la porosità del materiale. Inoltre, è possibile ottenere un affinamento della granulometria del materiale in fase di solidificazione riducendo a sua volta la tendenza alle cricche. Inoltre, il processo di saldatura garantisce una scalatura del cordone fine, come più volte richiesto dai clienti, soprattutto nelle applicazioni che coinvolgono l'alluminio e i tipi d'acciaio al cromo-nichel. L'intervallo della frequenza d'onda è regolabile: inizia a 4 Hz, sovrapponendosi ai 5 Hz superiori della </w:t>
      </w:r>
      <w:r>
        <w:rPr>
          <w:rFonts w:ascii="Open Sans" w:hAnsi="Open Sans"/>
          <w:sz w:val="20"/>
        </w:rPr>
        <w:lastRenderedPageBreak/>
        <w:t xml:space="preserve">funzione </w:t>
      </w:r>
      <w:proofErr w:type="gramStart"/>
      <w:r>
        <w:rPr>
          <w:rFonts w:ascii="Open Sans" w:hAnsi="Open Sans"/>
          <w:sz w:val="20"/>
        </w:rPr>
        <w:t>Twin(</w:t>
      </w:r>
      <w:proofErr w:type="spellStart"/>
      <w:proofErr w:type="gramEnd"/>
      <w:r>
        <w:rPr>
          <w:rFonts w:ascii="Open Sans" w:hAnsi="Open Sans"/>
          <w:sz w:val="20"/>
        </w:rPr>
        <w:t>Pulse</w:t>
      </w:r>
      <w:proofErr w:type="spellEnd"/>
      <w:r>
        <w:rPr>
          <w:rFonts w:ascii="Open Sans" w:hAnsi="Open Sans"/>
          <w:sz w:val="20"/>
        </w:rPr>
        <w:t xml:space="preserve">), e raggiunge i 40 Hz. L'avanzamento costante del filo di </w:t>
      </w:r>
      <w:proofErr w:type="spellStart"/>
      <w:r>
        <w:rPr>
          <w:rFonts w:ascii="Open Sans" w:hAnsi="Open Sans"/>
          <w:sz w:val="20"/>
        </w:rPr>
        <w:t>SpeedWave</w:t>
      </w:r>
      <w:proofErr w:type="spellEnd"/>
      <w:r>
        <w:rPr>
          <w:rFonts w:ascii="Open Sans" w:hAnsi="Open Sans"/>
          <w:sz w:val="20"/>
        </w:rPr>
        <w:t xml:space="preserve"> XT rispetto alla funzione </w:t>
      </w:r>
      <w:proofErr w:type="gramStart"/>
      <w:r>
        <w:rPr>
          <w:rFonts w:ascii="Open Sans" w:hAnsi="Open Sans"/>
          <w:sz w:val="20"/>
        </w:rPr>
        <w:t>Twin(</w:t>
      </w:r>
      <w:proofErr w:type="spellStart"/>
      <w:proofErr w:type="gramEnd"/>
      <w:r>
        <w:rPr>
          <w:rFonts w:ascii="Open Sans" w:hAnsi="Open Sans"/>
          <w:sz w:val="20"/>
        </w:rPr>
        <w:t>Pulse</w:t>
      </w:r>
      <w:proofErr w:type="spellEnd"/>
      <w:r>
        <w:rPr>
          <w:rFonts w:ascii="Open Sans" w:hAnsi="Open Sans"/>
          <w:sz w:val="20"/>
        </w:rPr>
        <w:t xml:space="preserve">) protegge gli apparecchi e gli accessori. </w:t>
      </w:r>
    </w:p>
    <w:p w14:paraId="506C4968" w14:textId="6BA21619" w:rsidR="00512CB1" w:rsidRPr="00162A82" w:rsidRDefault="004B4BAC" w:rsidP="004D1405">
      <w:pPr>
        <w:ind w:right="-1"/>
        <w:rPr>
          <w:rFonts w:ascii="Open Sans" w:hAnsi="Open Sans" w:cs="Open Sans"/>
          <w:sz w:val="20"/>
          <w:szCs w:val="20"/>
        </w:rPr>
      </w:pPr>
      <w:r>
        <w:rPr>
          <w:rFonts w:ascii="Open Sans" w:hAnsi="Open Sans"/>
          <w:sz w:val="20"/>
        </w:rPr>
        <w:t xml:space="preserve">Jonas Kappel, responsabile della gestione prodotti e del marketing di Lorch Schweißtechnik ha dichiarato: "Sin dal lancio di </w:t>
      </w:r>
      <w:proofErr w:type="spellStart"/>
      <w:r>
        <w:rPr>
          <w:rFonts w:ascii="Open Sans" w:hAnsi="Open Sans"/>
          <w:sz w:val="20"/>
        </w:rPr>
        <w:t>iQS</w:t>
      </w:r>
      <w:proofErr w:type="spellEnd"/>
      <w:r>
        <w:rPr>
          <w:rFonts w:ascii="Open Sans" w:hAnsi="Open Sans"/>
          <w:sz w:val="20"/>
        </w:rPr>
        <w:t xml:space="preserve"> abbiamo annunciato la rapida realizzazione di nuovi campi di applicazione e innovazioni dei processi di lavorazione. Grazie al modernissimo Smart </w:t>
      </w:r>
      <w:proofErr w:type="spellStart"/>
      <w:r>
        <w:rPr>
          <w:rFonts w:ascii="Open Sans" w:hAnsi="Open Sans"/>
          <w:sz w:val="20"/>
        </w:rPr>
        <w:t>Process</w:t>
      </w:r>
      <w:proofErr w:type="spellEnd"/>
      <w:r>
        <w:rPr>
          <w:rFonts w:ascii="Open Sans" w:hAnsi="Open Sans"/>
          <w:sz w:val="20"/>
        </w:rPr>
        <w:t xml:space="preserve"> Control Engine, siamo anche in grado di fare tutto in modo </w:t>
      </w:r>
      <w:r w:rsidR="001401BE">
        <w:rPr>
          <w:rFonts w:ascii="Open Sans" w:hAnsi="Open Sans"/>
          <w:sz w:val="20"/>
        </w:rPr>
        <w:t>veloce</w:t>
      </w:r>
      <w:r>
        <w:rPr>
          <w:rFonts w:ascii="Open Sans" w:hAnsi="Open Sans"/>
          <w:sz w:val="20"/>
        </w:rPr>
        <w:t xml:space="preserve">. Inoltre, </w:t>
      </w:r>
      <w:proofErr w:type="spellStart"/>
      <w:r>
        <w:rPr>
          <w:rFonts w:ascii="Open Sans" w:hAnsi="Open Sans"/>
          <w:sz w:val="20"/>
        </w:rPr>
        <w:t>iQS</w:t>
      </w:r>
      <w:proofErr w:type="spellEnd"/>
      <w:r>
        <w:rPr>
          <w:rFonts w:ascii="Open Sans" w:hAnsi="Open Sans"/>
          <w:sz w:val="20"/>
        </w:rPr>
        <w:t xml:space="preserve"> consente di raggiungere frequenze ancora più elevate e stabili grazie all'inverter a regolazione rapida gettando le basi del nuovo processo di saldatura. Continueremo a sviluppare la tecnologia Speed in quest'ottica per rendere le applicazioni sempre più semplici ed efficaci per i nostri clienti."</w:t>
      </w:r>
    </w:p>
    <w:p w14:paraId="0A7AF48A" w14:textId="609760EC" w:rsidR="00E94026" w:rsidRPr="00162A82" w:rsidRDefault="00313BD6" w:rsidP="00E94026">
      <w:pPr>
        <w:rPr>
          <w:rFonts w:ascii="Open Sans" w:hAnsi="Open Sans" w:cs="Open Sans"/>
          <w:sz w:val="20"/>
          <w:szCs w:val="20"/>
        </w:rPr>
      </w:pPr>
      <w:r>
        <w:rPr>
          <w:rFonts w:ascii="Open Sans" w:hAnsi="Open Sans"/>
          <w:sz w:val="20"/>
        </w:rPr>
        <w:t xml:space="preserve">Inoltre, Lorch Schweißtechnik presenterà un pacchetto di nuove curve </w:t>
      </w:r>
      <w:r w:rsidR="001401BE">
        <w:rPr>
          <w:rFonts w:ascii="Open Sans" w:hAnsi="Open Sans"/>
          <w:sz w:val="20"/>
        </w:rPr>
        <w:t xml:space="preserve">sinergiche </w:t>
      </w:r>
      <w:r>
        <w:rPr>
          <w:rFonts w:ascii="Open Sans" w:hAnsi="Open Sans"/>
          <w:sz w:val="20"/>
        </w:rPr>
        <w:t>caratteristiche per i tipi d'acciaio ad alta resistenza alla fiera internazionale "</w:t>
      </w:r>
      <w:proofErr w:type="spellStart"/>
      <w:r>
        <w:rPr>
          <w:rFonts w:ascii="Open Sans" w:hAnsi="Open Sans"/>
          <w:sz w:val="20"/>
        </w:rPr>
        <w:t>Schweissen</w:t>
      </w:r>
      <w:proofErr w:type="spellEnd"/>
      <w:r>
        <w:rPr>
          <w:rFonts w:ascii="Open Sans" w:hAnsi="Open Sans"/>
          <w:sz w:val="20"/>
        </w:rPr>
        <w:t xml:space="preserve"> und </w:t>
      </w:r>
      <w:proofErr w:type="spellStart"/>
      <w:r>
        <w:rPr>
          <w:rFonts w:ascii="Open Sans" w:hAnsi="Open Sans"/>
          <w:sz w:val="20"/>
        </w:rPr>
        <w:t>Schneiden</w:t>
      </w:r>
      <w:proofErr w:type="spellEnd"/>
      <w:r>
        <w:rPr>
          <w:rFonts w:ascii="Open Sans" w:hAnsi="Open Sans"/>
          <w:sz w:val="20"/>
        </w:rPr>
        <w:t xml:space="preserve">" di Essen. Al giorno d'oggi, i tipi d'acciaio a grana fine ad alta resistenza sono sempre più utilizzati perché presentano una resistenza alla trazione e un limite di snervamento molto più elevati rispetto all'acciaio convenzionale. Questo materiale è l'ideale per le strutture di gru, mezzi pesanti e veicoli perché garantisce il peso minore possibile con la massima stabilità. </w:t>
      </w:r>
      <w:r>
        <w:rPr>
          <w:rFonts w:ascii="Open Sans" w:hAnsi="Open Sans"/>
          <w:color w:val="000000" w:themeColor="text1"/>
          <w:sz w:val="20"/>
        </w:rPr>
        <w:t xml:space="preserve">Tuttavia, per quanto riguarda i tipi d'acciaio a grana fine, è essenziale un apporto di calore assolutamente </w:t>
      </w:r>
      <w:r w:rsidR="001401BE">
        <w:rPr>
          <w:rFonts w:ascii="Open Sans" w:hAnsi="Open Sans"/>
          <w:color w:val="000000" w:themeColor="text1"/>
          <w:sz w:val="20"/>
        </w:rPr>
        <w:t>controllato</w:t>
      </w:r>
      <w:r>
        <w:rPr>
          <w:rFonts w:ascii="Open Sans" w:hAnsi="Open Sans"/>
          <w:color w:val="000000" w:themeColor="text1"/>
          <w:sz w:val="20"/>
        </w:rPr>
        <w:t xml:space="preserve">. </w:t>
      </w:r>
    </w:p>
    <w:p w14:paraId="364A1EBE" w14:textId="3460F301" w:rsidR="00E94026" w:rsidRPr="00162A82" w:rsidRDefault="00E94026" w:rsidP="00E94026">
      <w:pPr>
        <w:rPr>
          <w:rFonts w:ascii="Open Sans" w:hAnsi="Open Sans" w:cs="Open Sans"/>
          <w:sz w:val="20"/>
          <w:szCs w:val="20"/>
        </w:rPr>
      </w:pPr>
      <w:r>
        <w:rPr>
          <w:rFonts w:ascii="Open Sans" w:hAnsi="Open Sans"/>
          <w:sz w:val="20"/>
        </w:rPr>
        <w:t xml:space="preserve">Avvalendosi delle nuove curve </w:t>
      </w:r>
      <w:r w:rsidR="001401BE">
        <w:rPr>
          <w:rFonts w:ascii="Open Sans" w:hAnsi="Open Sans"/>
          <w:sz w:val="20"/>
        </w:rPr>
        <w:t xml:space="preserve">sinergiche </w:t>
      </w:r>
      <w:r>
        <w:rPr>
          <w:rFonts w:ascii="Open Sans" w:hAnsi="Open Sans"/>
          <w:sz w:val="20"/>
        </w:rPr>
        <w:t xml:space="preserve">caratteristiche, gli utenti possono accedere a soluzioni adattate in modo specifico ai materiali e alle varie marche dei fili e utilizzarle immediatamente nella produzione di tutti i giorni. In questo modo, si semplifica il lavoro dei saldatori fornendo un contributo per migliorare la qualità del cordone di saldatura, ma riducendo anche le eventuali rifiniture provocate dagli spruzzi. Lorch Schweißtechnik predispone le curve </w:t>
      </w:r>
      <w:r w:rsidR="001401BE">
        <w:rPr>
          <w:rFonts w:ascii="Open Sans" w:hAnsi="Open Sans"/>
          <w:sz w:val="20"/>
        </w:rPr>
        <w:t xml:space="preserve">sinergiche </w:t>
      </w:r>
      <w:r>
        <w:rPr>
          <w:rFonts w:ascii="Open Sans" w:hAnsi="Open Sans"/>
          <w:sz w:val="20"/>
        </w:rPr>
        <w:t>caratteristiche per tutti i marchi dei tipi d</w:t>
      </w:r>
      <w:r w:rsidR="001401BE">
        <w:rPr>
          <w:rFonts w:ascii="Open Sans" w:hAnsi="Open Sans"/>
          <w:sz w:val="20"/>
        </w:rPr>
        <w:t xml:space="preserve">i </w:t>
      </w:r>
      <w:r>
        <w:rPr>
          <w:rFonts w:ascii="Open Sans" w:hAnsi="Open Sans"/>
          <w:sz w:val="20"/>
        </w:rPr>
        <w:t xml:space="preserve">acciaio ad alta resistenza leader di mercato e tra l'altro </w:t>
      </w:r>
      <w:r w:rsidR="001401BE">
        <w:rPr>
          <w:rFonts w:ascii="Open Sans" w:hAnsi="Open Sans"/>
          <w:sz w:val="20"/>
        </w:rPr>
        <w:t>i</w:t>
      </w:r>
      <w:r>
        <w:rPr>
          <w:rFonts w:ascii="Open Sans" w:hAnsi="Open Sans"/>
          <w:sz w:val="20"/>
        </w:rPr>
        <w:t xml:space="preserve"> fil</w:t>
      </w:r>
      <w:r w:rsidR="001401BE">
        <w:rPr>
          <w:rFonts w:ascii="Open Sans" w:hAnsi="Open Sans"/>
          <w:sz w:val="20"/>
        </w:rPr>
        <w:t>i d’apport</w:t>
      </w:r>
      <w:r>
        <w:rPr>
          <w:rFonts w:ascii="Open Sans" w:hAnsi="Open Sans"/>
          <w:sz w:val="20"/>
        </w:rPr>
        <w:t xml:space="preserve">o MAG di </w:t>
      </w:r>
      <w:proofErr w:type="spellStart"/>
      <w:r>
        <w:rPr>
          <w:rFonts w:ascii="Open Sans" w:hAnsi="Open Sans"/>
          <w:sz w:val="20"/>
        </w:rPr>
        <w:t>Fliess</w:t>
      </w:r>
      <w:proofErr w:type="spellEnd"/>
      <w:r>
        <w:rPr>
          <w:rFonts w:ascii="Open Sans" w:hAnsi="Open Sans"/>
          <w:sz w:val="20"/>
        </w:rPr>
        <w:t xml:space="preserve"> e </w:t>
      </w:r>
      <w:proofErr w:type="spellStart"/>
      <w:r>
        <w:rPr>
          <w:rFonts w:ascii="Open Sans" w:hAnsi="Open Sans"/>
          <w:sz w:val="20"/>
        </w:rPr>
        <w:t>Böhler</w:t>
      </w:r>
      <w:proofErr w:type="spellEnd"/>
      <w:r>
        <w:rPr>
          <w:rFonts w:ascii="Open Sans" w:hAnsi="Open Sans"/>
          <w:sz w:val="20"/>
        </w:rPr>
        <w:t>.</w:t>
      </w:r>
    </w:p>
    <w:p w14:paraId="62565D68" w14:textId="0E6F545B" w:rsidR="00D87E2D" w:rsidRPr="00162A82" w:rsidRDefault="00D87E2D" w:rsidP="00E94026">
      <w:pPr>
        <w:rPr>
          <w:rFonts w:ascii="Open Sans" w:hAnsi="Open Sans" w:cs="Open Sans"/>
          <w:sz w:val="20"/>
          <w:szCs w:val="20"/>
        </w:rPr>
      </w:pPr>
      <w:r>
        <w:rPr>
          <w:rFonts w:ascii="Open Sans" w:hAnsi="Open Sans"/>
          <w:sz w:val="20"/>
        </w:rPr>
        <w:t xml:space="preserve">I nuovi processi di saldatura saranno presentati dal vivo </w:t>
      </w:r>
      <w:r w:rsidR="001401BE">
        <w:rPr>
          <w:rFonts w:ascii="Open Sans" w:hAnsi="Open Sans"/>
          <w:sz w:val="20"/>
        </w:rPr>
        <w:t xml:space="preserve">alla </w:t>
      </w:r>
      <w:r>
        <w:rPr>
          <w:rFonts w:ascii="Open Sans" w:hAnsi="Open Sans"/>
          <w:sz w:val="20"/>
        </w:rPr>
        <w:t>fiera internazionale "</w:t>
      </w:r>
      <w:proofErr w:type="spellStart"/>
      <w:r>
        <w:rPr>
          <w:rFonts w:ascii="Open Sans" w:hAnsi="Open Sans"/>
          <w:sz w:val="20"/>
        </w:rPr>
        <w:t>Schweißen</w:t>
      </w:r>
      <w:proofErr w:type="spellEnd"/>
      <w:r>
        <w:rPr>
          <w:rFonts w:ascii="Open Sans" w:hAnsi="Open Sans"/>
          <w:sz w:val="20"/>
        </w:rPr>
        <w:t xml:space="preserve"> und </w:t>
      </w:r>
      <w:proofErr w:type="spellStart"/>
      <w:r>
        <w:rPr>
          <w:rFonts w:ascii="Open Sans" w:hAnsi="Open Sans"/>
          <w:sz w:val="20"/>
        </w:rPr>
        <w:t>Schneiden</w:t>
      </w:r>
      <w:proofErr w:type="spellEnd"/>
      <w:r>
        <w:rPr>
          <w:rFonts w:ascii="Open Sans" w:hAnsi="Open Sans"/>
          <w:sz w:val="20"/>
        </w:rPr>
        <w:t xml:space="preserve">" di Essen dal 15 al 19 settembre 2025 presso lo stand di Lorch </w:t>
      </w:r>
      <w:r>
        <w:rPr>
          <w:rFonts w:ascii="Open Sans" w:hAnsi="Open Sans"/>
          <w:sz w:val="20"/>
        </w:rPr>
        <w:br/>
        <w:t xml:space="preserve">(padiglione 5, stand H18). </w:t>
      </w:r>
    </w:p>
    <w:p w14:paraId="1BD07E87" w14:textId="46A34239" w:rsidR="005C77AF" w:rsidRPr="00162A82" w:rsidRDefault="005C77AF" w:rsidP="00902006">
      <w:pPr>
        <w:ind w:right="-1"/>
        <w:rPr>
          <w:rFonts w:ascii="Open Sans" w:hAnsi="Open Sans" w:cs="Open Sans"/>
          <w:sz w:val="20"/>
          <w:szCs w:val="20"/>
        </w:rPr>
      </w:pPr>
      <w:r>
        <w:rPr>
          <w:rFonts w:ascii="Open Sans" w:hAnsi="Open Sans"/>
          <w:i/>
          <w:sz w:val="20"/>
        </w:rPr>
        <w:lastRenderedPageBreak/>
        <w:t>Lorch Schweißtechnik GmbH è un produttore leader d</w:t>
      </w:r>
      <w:r w:rsidR="001401BE">
        <w:rPr>
          <w:rFonts w:ascii="Open Sans" w:hAnsi="Open Sans"/>
          <w:i/>
          <w:sz w:val="20"/>
        </w:rPr>
        <w:t>i</w:t>
      </w:r>
      <w:r>
        <w:rPr>
          <w:rFonts w:ascii="Open Sans" w:hAnsi="Open Sans"/>
          <w:i/>
          <w:sz w:val="20"/>
        </w:rPr>
        <w:t xml:space="preserve"> impianti di saldatura ad arco elettrico per le applicazioni industriali, il complesso settore metalmeccanico e l'utilizzo nell'automazione con robot e sistemi robotizzati collaborativi. Gli impianti di qualità di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096A37C1" w14:textId="7B63765B" w:rsidR="00EF2717" w:rsidRPr="00BB7C13" w:rsidRDefault="00EF2717" w:rsidP="00EF2717">
      <w:pPr>
        <w:spacing w:line="300" w:lineRule="exact"/>
        <w:rPr>
          <w:rFonts w:ascii="Open Sans" w:hAnsi="Open Sans" w:cs="Open Sans"/>
          <w:iCs/>
          <w:color w:val="000000" w:themeColor="text1"/>
          <w:sz w:val="20"/>
          <w:szCs w:val="20"/>
        </w:rPr>
      </w:pPr>
      <w:r>
        <w:rPr>
          <w:rFonts w:ascii="Open Sans" w:hAnsi="Open Sans"/>
          <w:noProof/>
          <w:color w:val="000000" w:themeColor="text1"/>
          <w:sz w:val="20"/>
        </w:rPr>
        <w:drawing>
          <wp:anchor distT="0" distB="0" distL="114300" distR="114300" simplePos="0" relativeHeight="251660288" behindDoc="1" locked="0" layoutInCell="1" allowOverlap="1" wp14:anchorId="60E49A0C" wp14:editId="6FBAB013">
            <wp:simplePos x="0" y="0"/>
            <wp:positionH relativeFrom="margin">
              <wp:align>left</wp:align>
            </wp:positionH>
            <wp:positionV relativeFrom="paragraph">
              <wp:posOffset>2190797</wp:posOffset>
            </wp:positionV>
            <wp:extent cx="6299835" cy="1602740"/>
            <wp:effectExtent l="0" t="0" r="5715" b="0"/>
            <wp:wrapTight wrapText="bothSides">
              <wp:wrapPolygon edited="0">
                <wp:start x="0" y="0"/>
                <wp:lineTo x="0" y="21309"/>
                <wp:lineTo x="21554" y="21309"/>
                <wp:lineTo x="21554" y="0"/>
                <wp:lineTo x="0" y="0"/>
              </wp:wrapPolygon>
            </wp:wrapTight>
            <wp:docPr id="44694859" name="Grafik 2" descr="Ein Bild, das Stoff, Kleidung, Braun, Sof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4859" name="Grafik 2" descr="Ein Bild, das Stoff, Kleidung, Braun, Sofa enthält.&#10;&#10;KI-generierte Inhalte können fehlerhaft sein."/>
                    <pic:cNvPicPr/>
                  </pic:nvPicPr>
                  <pic:blipFill rotWithShape="1">
                    <a:blip r:embed="rId8" cstate="print">
                      <a:extLst>
                        <a:ext uri="{28A0092B-C50C-407E-A947-70E740481C1C}">
                          <a14:useLocalDpi xmlns:a14="http://schemas.microsoft.com/office/drawing/2010/main" val="0"/>
                        </a:ext>
                      </a:extLst>
                    </a:blip>
                    <a:srcRect t="21505" b="17590"/>
                    <a:stretch>
                      <a:fillRect/>
                    </a:stretch>
                  </pic:blipFill>
                  <pic:spPr bwMode="auto">
                    <a:xfrm>
                      <a:off x="0" y="0"/>
                      <a:ext cx="629983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noProof/>
          <w:color w:val="000000" w:themeColor="text1"/>
          <w:sz w:val="20"/>
        </w:rPr>
        <w:drawing>
          <wp:anchor distT="0" distB="0" distL="114300" distR="114300" simplePos="0" relativeHeight="251659264" behindDoc="1" locked="0" layoutInCell="1" allowOverlap="1" wp14:anchorId="1B94BCAA" wp14:editId="5925975B">
            <wp:simplePos x="0" y="0"/>
            <wp:positionH relativeFrom="margin">
              <wp:posOffset>0</wp:posOffset>
            </wp:positionH>
            <wp:positionV relativeFrom="paragraph">
              <wp:posOffset>189865</wp:posOffset>
            </wp:positionV>
            <wp:extent cx="6300000" cy="1605782"/>
            <wp:effectExtent l="0" t="0" r="5715" b="0"/>
            <wp:wrapSquare wrapText="bothSides"/>
            <wp:docPr id="366192339" name="Grafik 1" descr="Ein Bild, das Screenshot, Reihe, Schwarz, G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2339" name="Grafik 1" descr="Ein Bild, das Screenshot, Reihe, Schwarz, Grau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l="22075" t="36649" r="23730" b="30677"/>
                    <a:stretch>
                      <a:fillRect/>
                    </a:stretch>
                  </pic:blipFill>
                  <pic:spPr bwMode="auto">
                    <a:xfrm>
                      <a:off x="0" y="0"/>
                      <a:ext cx="6300000" cy="1605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olor w:val="000000" w:themeColor="text1"/>
          <w:sz w:val="20"/>
        </w:rPr>
        <w:t xml:space="preserve">Fig. 01 – Alluminio con saldatura </w:t>
      </w:r>
      <w:r w:rsidR="001401BE">
        <w:rPr>
          <w:rFonts w:ascii="Open Sans" w:hAnsi="Open Sans"/>
          <w:color w:val="000000" w:themeColor="text1"/>
          <w:sz w:val="20"/>
        </w:rPr>
        <w:t>in piano eseguita con</w:t>
      </w:r>
      <w:r>
        <w:rPr>
          <w:rFonts w:ascii="Open Sans" w:hAnsi="Open Sans"/>
          <w:color w:val="000000" w:themeColor="text1"/>
          <w:sz w:val="20"/>
        </w:rPr>
        <w:t xml:space="preserve"> processo </w:t>
      </w:r>
      <w:proofErr w:type="spellStart"/>
      <w:r>
        <w:rPr>
          <w:rFonts w:ascii="Open Sans" w:hAnsi="Open Sans"/>
          <w:color w:val="000000" w:themeColor="text1"/>
          <w:sz w:val="20"/>
        </w:rPr>
        <w:t>SpeedWave</w:t>
      </w:r>
      <w:proofErr w:type="spellEnd"/>
      <w:r>
        <w:rPr>
          <w:rFonts w:ascii="Open Sans" w:hAnsi="Open Sans"/>
          <w:color w:val="000000" w:themeColor="text1"/>
          <w:sz w:val="20"/>
        </w:rPr>
        <w:t xml:space="preserve"> XT</w:t>
      </w:r>
    </w:p>
    <w:p w14:paraId="1CB9B656" w14:textId="3727363A" w:rsidR="00EF2717" w:rsidRPr="00BB7C13" w:rsidRDefault="00BB7C13" w:rsidP="00EF2717">
      <w:pPr>
        <w:spacing w:line="300" w:lineRule="exact"/>
        <w:rPr>
          <w:rFonts w:ascii="Open Sans" w:hAnsi="Open Sans" w:cs="Open Sans"/>
          <w:i/>
          <w:color w:val="000000" w:themeColor="text1"/>
          <w:sz w:val="20"/>
          <w:szCs w:val="20"/>
        </w:rPr>
      </w:pPr>
      <w:r>
        <w:rPr>
          <w:rFonts w:ascii="Open Sans" w:hAnsi="Open Sans"/>
          <w:i/>
          <w:color w:val="000000" w:themeColor="text1"/>
          <w:sz w:val="20"/>
        </w:rPr>
        <w:t xml:space="preserve">Fig. 01 – Acciaio inox con saldatura </w:t>
      </w:r>
      <w:r w:rsidR="001401BE">
        <w:rPr>
          <w:rFonts w:ascii="Open Sans" w:hAnsi="Open Sans"/>
          <w:i/>
          <w:color w:val="000000" w:themeColor="text1"/>
          <w:sz w:val="20"/>
        </w:rPr>
        <w:t>in piano eseguita con</w:t>
      </w:r>
      <w:r>
        <w:rPr>
          <w:rFonts w:ascii="Open Sans" w:hAnsi="Open Sans"/>
          <w:i/>
          <w:color w:val="000000" w:themeColor="text1"/>
          <w:sz w:val="20"/>
        </w:rPr>
        <w:t xml:space="preserve"> processo </w:t>
      </w:r>
      <w:proofErr w:type="spellStart"/>
      <w:r>
        <w:rPr>
          <w:rFonts w:ascii="Open Sans" w:hAnsi="Open Sans"/>
          <w:i/>
          <w:color w:val="000000" w:themeColor="text1"/>
          <w:sz w:val="20"/>
        </w:rPr>
        <w:t>SpeedWave</w:t>
      </w:r>
      <w:proofErr w:type="spellEnd"/>
      <w:r>
        <w:rPr>
          <w:rFonts w:ascii="Open Sans" w:hAnsi="Open Sans"/>
          <w:i/>
          <w:color w:val="000000" w:themeColor="text1"/>
          <w:sz w:val="20"/>
        </w:rPr>
        <w:t xml:space="preserve"> XT</w:t>
      </w:r>
    </w:p>
    <w:p w14:paraId="218A5B33" w14:textId="77777777" w:rsidR="00F8181B" w:rsidRPr="00162A8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B0A2FB5" w14:textId="77777777" w:rsidR="00BB7C13" w:rsidRDefault="00BB7C13">
      <w:pPr>
        <w:spacing w:after="0" w:line="240" w:lineRule="auto"/>
        <w:rPr>
          <w:rFonts w:ascii="Open Sans" w:eastAsia="ヒラギノ角ゴ Pro W3" w:hAnsi="Open Sans" w:cs="Open Sans"/>
          <w:b/>
          <w:sz w:val="20"/>
          <w:szCs w:val="20"/>
        </w:rPr>
      </w:pPr>
      <w:r>
        <w:br w:type="page"/>
      </w:r>
    </w:p>
    <w:p w14:paraId="7CDDDAB5" w14:textId="0568A838"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b/>
          <w:color w:val="auto"/>
          <w:sz w:val="20"/>
        </w:rPr>
        <w:lastRenderedPageBreak/>
        <w:t xml:space="preserve">Contatto stampa </w:t>
      </w:r>
    </w:p>
    <w:p w14:paraId="661C5F71" w14:textId="3CAD3087"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 xml:space="preserve">Lorch Schweißtechnik GmbH </w:t>
      </w:r>
      <w:r>
        <w:rPr>
          <w:rFonts w:ascii="Open Sans" w:hAnsi="Open Sans"/>
          <w:color w:val="auto"/>
          <w:sz w:val="20"/>
        </w:rPr>
        <w:br/>
        <w:t xml:space="preserve">Michaela Schreiter </w:t>
      </w:r>
      <w:r>
        <w:rPr>
          <w:rFonts w:ascii="Open Sans" w:hAnsi="Open Sans"/>
          <w:color w:val="auto"/>
          <w:sz w:val="20"/>
        </w:rPr>
        <w:br/>
        <w:t>T +49 7191 503-0</w:t>
      </w:r>
      <w:r>
        <w:rPr>
          <w:rFonts w:ascii="Open Sans" w:hAnsi="Open Sans"/>
          <w:color w:val="auto"/>
          <w:sz w:val="20"/>
        </w:rPr>
        <w:br/>
        <w:t>F +49 7191 503-199</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69865E78" w14:textId="77777777"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Pr>
          <w:rFonts w:ascii="Open Sans" w:hAnsi="Open Sans"/>
          <w:color w:val="auto"/>
          <w:sz w:val="20"/>
        </w:rPr>
        <w:t>Germany / Germania</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Pr>
          <w:rFonts w:ascii="Open Sans" w:hAnsi="Open Sans"/>
          <w:i/>
          <w:color w:val="auto"/>
          <w:sz w:val="20"/>
        </w:rPr>
        <w:t>La ristampa è consentita senza vincoli. È richiesta una copia giustificativa.</w:t>
      </w:r>
    </w:p>
    <w:sectPr w:rsidR="00F840D0" w:rsidRPr="00760571" w:rsidSect="00E94026">
      <w:headerReference w:type="default" r:id="rId10"/>
      <w:footerReference w:type="default" r:id="rId11"/>
      <w:headerReference w:type="first" r:id="rId12"/>
      <w:footerReference w:type="first" r:id="rId13"/>
      <w:pgSz w:w="11906" w:h="16838"/>
      <w:pgMar w:top="3119" w:right="3400"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771A9" w14:textId="77777777" w:rsidR="00E21F14" w:rsidRDefault="00E21F14" w:rsidP="0095339D">
      <w:pPr>
        <w:spacing w:after="0" w:line="240" w:lineRule="auto"/>
      </w:pPr>
      <w:r>
        <w:separator/>
      </w:r>
    </w:p>
  </w:endnote>
  <w:endnote w:type="continuationSeparator" w:id="0">
    <w:p w14:paraId="6AC77EF4" w14:textId="77777777" w:rsidR="00E21F14" w:rsidRDefault="00E21F14"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Pr>
        <w:rFonts w:ascii="Verdana" w:hAnsi="Verdana"/>
        <w:sz w:val="14"/>
      </w:rPr>
      <w:t xml:space="preserve">Pagina </w:t>
    </w:r>
    <w:r w:rsidR="00EE1FB9" w:rsidRPr="006E4D61">
      <w:rPr>
        <w:rFonts w:ascii="Verdana" w:hAnsi="Verdana"/>
        <w:sz w:val="14"/>
      </w:rPr>
      <w:fldChar w:fldCharType="begin"/>
    </w:r>
    <w:r>
      <w:rPr>
        <w:rFonts w:ascii="Verdana" w:hAnsi="Verdana"/>
        <w:sz w:val="14"/>
      </w:rPr>
      <w:instrText>PAGE</w:instrText>
    </w:r>
    <w:r w:rsidR="00EE1FB9" w:rsidRPr="006E4D61">
      <w:rPr>
        <w:rFonts w:ascii="Verdana" w:hAnsi="Verdana"/>
        <w:sz w:val="14"/>
      </w:rPr>
      <w:fldChar w:fldCharType="separate"/>
    </w:r>
    <w:r w:rsidR="006F5210">
      <w:rPr>
        <w:rFonts w:ascii="Verdana" w:hAnsi="Verdana"/>
        <w:sz w:val="14"/>
      </w:rPr>
      <w:t>3</w:t>
    </w:r>
    <w:r w:rsidR="00EE1FB9" w:rsidRPr="006E4D61">
      <w:rPr>
        <w:rFonts w:ascii="Verdana" w:hAnsi="Verdana"/>
        <w:sz w:val="14"/>
      </w:rPr>
      <w:fldChar w:fldCharType="end"/>
    </w:r>
    <w:r>
      <w:rPr>
        <w:rFonts w:ascii="Verdana" w:hAnsi="Verdana"/>
        <w:sz w:val="14"/>
      </w:rPr>
      <w:t xml:space="preserve"> di </w:t>
    </w:r>
    <w:r w:rsidR="00EE1FB9" w:rsidRPr="006E4D61">
      <w:rPr>
        <w:rFonts w:ascii="Verdana" w:hAnsi="Verdana"/>
        <w:sz w:val="14"/>
      </w:rPr>
      <w:fldChar w:fldCharType="begin"/>
    </w:r>
    <w:r>
      <w:rPr>
        <w:rFonts w:ascii="Verdana" w:hAnsi="Verdana"/>
        <w:sz w:val="14"/>
      </w:rPr>
      <w:instrText>NUMPAGES</w:instrText>
    </w:r>
    <w:r w:rsidR="00EE1FB9" w:rsidRPr="006E4D61">
      <w:rPr>
        <w:rFonts w:ascii="Verdana" w:hAnsi="Verdana"/>
        <w:sz w:val="14"/>
      </w:rPr>
      <w:fldChar w:fldCharType="separate"/>
    </w:r>
    <w:r w:rsidR="006F5210">
      <w:rPr>
        <w:rFonts w:ascii="Verdana" w:hAnsi="Verdana"/>
        <w:sz w:val="14"/>
      </w:rPr>
      <w:t>5</w:t>
    </w:r>
    <w:r w:rsidR="00EE1FB9" w:rsidRPr="006E4D61">
      <w:rPr>
        <w:rFonts w:ascii="Verdana" w:hAnsi="Verdana"/>
        <w:sz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Pr>
        <w:rFonts w:ascii="Verdana" w:hAnsi="Verdana"/>
        <w:sz w:val="14"/>
      </w:rPr>
      <w:t xml:space="preserve">Pagina </w:t>
    </w:r>
    <w:r w:rsidR="00EE1FB9" w:rsidRPr="00F237E1">
      <w:rPr>
        <w:rFonts w:ascii="Verdana" w:hAnsi="Verdana"/>
        <w:sz w:val="14"/>
      </w:rPr>
      <w:fldChar w:fldCharType="begin"/>
    </w:r>
    <w:r>
      <w:rPr>
        <w:rFonts w:ascii="Verdana" w:hAnsi="Verdana"/>
        <w:sz w:val="14"/>
      </w:rPr>
      <w:instrText>PAGE</w:instrText>
    </w:r>
    <w:r w:rsidR="00EE1FB9" w:rsidRPr="00F237E1">
      <w:rPr>
        <w:rFonts w:ascii="Verdana" w:hAnsi="Verdana"/>
        <w:sz w:val="14"/>
      </w:rPr>
      <w:fldChar w:fldCharType="separate"/>
    </w:r>
    <w:r w:rsidR="006F5210">
      <w:rPr>
        <w:rFonts w:ascii="Verdana" w:hAnsi="Verdana"/>
        <w:sz w:val="14"/>
      </w:rPr>
      <w:t>1</w:t>
    </w:r>
    <w:r w:rsidR="00EE1FB9" w:rsidRPr="00F237E1">
      <w:rPr>
        <w:rFonts w:ascii="Verdana" w:hAnsi="Verdana"/>
        <w:sz w:val="14"/>
      </w:rPr>
      <w:fldChar w:fldCharType="end"/>
    </w:r>
    <w:r>
      <w:rPr>
        <w:rFonts w:ascii="Verdana" w:hAnsi="Verdana"/>
        <w:sz w:val="14"/>
      </w:rPr>
      <w:t xml:space="preserve"> di </w:t>
    </w:r>
    <w:r w:rsidR="00EE1FB9" w:rsidRPr="00F237E1">
      <w:rPr>
        <w:rFonts w:ascii="Verdana" w:hAnsi="Verdana"/>
        <w:sz w:val="14"/>
      </w:rPr>
      <w:fldChar w:fldCharType="begin"/>
    </w:r>
    <w:r>
      <w:rPr>
        <w:rFonts w:ascii="Verdana" w:hAnsi="Verdana"/>
        <w:sz w:val="14"/>
      </w:rPr>
      <w:instrText>NUMPAGES</w:instrText>
    </w:r>
    <w:r w:rsidR="00EE1FB9" w:rsidRPr="00F237E1">
      <w:rPr>
        <w:rFonts w:ascii="Verdana" w:hAnsi="Verdana"/>
        <w:sz w:val="14"/>
      </w:rPr>
      <w:fldChar w:fldCharType="separate"/>
    </w:r>
    <w:r w:rsidR="006F5210">
      <w:rPr>
        <w:rFonts w:ascii="Verdana" w:hAnsi="Verdana"/>
        <w:sz w:val="14"/>
      </w:rPr>
      <w:t>5</w:t>
    </w:r>
    <w:r w:rsidR="00EE1FB9" w:rsidRPr="00F237E1">
      <w:rPr>
        <w:rFonts w:ascii="Verdana" w:hAnsi="Verdana"/>
        <w:sz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5BFC5" w14:textId="77777777" w:rsidR="00E21F14" w:rsidRDefault="00E21F14" w:rsidP="0095339D">
      <w:pPr>
        <w:spacing w:after="0" w:line="240" w:lineRule="auto"/>
      </w:pPr>
      <w:r>
        <w:separator/>
      </w:r>
    </w:p>
  </w:footnote>
  <w:footnote w:type="continuationSeparator" w:id="0">
    <w:p w14:paraId="306E184A" w14:textId="77777777" w:rsidR="00E21F14" w:rsidRDefault="00E21F14"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rPr>
      <w:br/>
      <w:t>Comunicato stampa</w:t>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proofErr w:type="spellStart"/>
    <w:r>
      <w:rPr>
        <w:rFonts w:ascii="Verdana" w:hAnsi="Verdana"/>
        <w:color w:val="000000"/>
        <w:sz w:val="20"/>
      </w:rPr>
      <w:t>Auenwald</w:t>
    </w:r>
    <w:proofErr w:type="spellEnd"/>
    <w:r>
      <w:rPr>
        <w:rFonts w:ascii="Verdana" w:hAnsi="Verdana"/>
        <w:color w:val="000000"/>
        <w:sz w:val="20"/>
      </w:rPr>
      <w:t xml:space="preserve">,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2AC"/>
    <w:rsid w:val="000374F2"/>
    <w:rsid w:val="00040589"/>
    <w:rsid w:val="00052737"/>
    <w:rsid w:val="00056FCE"/>
    <w:rsid w:val="0006343A"/>
    <w:rsid w:val="0006472F"/>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24B"/>
    <w:rsid w:val="000A0DB6"/>
    <w:rsid w:val="000A2945"/>
    <w:rsid w:val="000A4C4C"/>
    <w:rsid w:val="000A73D8"/>
    <w:rsid w:val="000A7650"/>
    <w:rsid w:val="000B46F2"/>
    <w:rsid w:val="000B5048"/>
    <w:rsid w:val="000B5AE4"/>
    <w:rsid w:val="000B5C31"/>
    <w:rsid w:val="000C2383"/>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2CD7"/>
    <w:rsid w:val="0012313A"/>
    <w:rsid w:val="001233C5"/>
    <w:rsid w:val="001238B1"/>
    <w:rsid w:val="00125C8C"/>
    <w:rsid w:val="00130346"/>
    <w:rsid w:val="00131D28"/>
    <w:rsid w:val="00131DA2"/>
    <w:rsid w:val="00131E04"/>
    <w:rsid w:val="001370DB"/>
    <w:rsid w:val="00137137"/>
    <w:rsid w:val="00140011"/>
    <w:rsid w:val="001401BE"/>
    <w:rsid w:val="00144ED2"/>
    <w:rsid w:val="00147192"/>
    <w:rsid w:val="0015082F"/>
    <w:rsid w:val="001512C1"/>
    <w:rsid w:val="0015391D"/>
    <w:rsid w:val="001551B5"/>
    <w:rsid w:val="00161E69"/>
    <w:rsid w:val="00162A82"/>
    <w:rsid w:val="00162AF9"/>
    <w:rsid w:val="00162B3F"/>
    <w:rsid w:val="00166046"/>
    <w:rsid w:val="00167EC3"/>
    <w:rsid w:val="00172C9A"/>
    <w:rsid w:val="00173FB5"/>
    <w:rsid w:val="00174623"/>
    <w:rsid w:val="001760E0"/>
    <w:rsid w:val="00180440"/>
    <w:rsid w:val="001805B6"/>
    <w:rsid w:val="00181BE6"/>
    <w:rsid w:val="0018243D"/>
    <w:rsid w:val="0018548B"/>
    <w:rsid w:val="00186F1F"/>
    <w:rsid w:val="00187CC3"/>
    <w:rsid w:val="00191831"/>
    <w:rsid w:val="0019220B"/>
    <w:rsid w:val="00194166"/>
    <w:rsid w:val="0019523C"/>
    <w:rsid w:val="001966A2"/>
    <w:rsid w:val="00197A94"/>
    <w:rsid w:val="001A00CB"/>
    <w:rsid w:val="001A1914"/>
    <w:rsid w:val="001A65BA"/>
    <w:rsid w:val="001B0352"/>
    <w:rsid w:val="001B087A"/>
    <w:rsid w:val="001B3BA2"/>
    <w:rsid w:val="001B5D58"/>
    <w:rsid w:val="001B701B"/>
    <w:rsid w:val="001C2631"/>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5B6D"/>
    <w:rsid w:val="00207939"/>
    <w:rsid w:val="002120C9"/>
    <w:rsid w:val="00217384"/>
    <w:rsid w:val="00222382"/>
    <w:rsid w:val="002229F2"/>
    <w:rsid w:val="00231986"/>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BD6"/>
    <w:rsid w:val="00313C16"/>
    <w:rsid w:val="003148E4"/>
    <w:rsid w:val="003162C5"/>
    <w:rsid w:val="00316D54"/>
    <w:rsid w:val="003201BE"/>
    <w:rsid w:val="00321230"/>
    <w:rsid w:val="00323215"/>
    <w:rsid w:val="00324FCA"/>
    <w:rsid w:val="00331311"/>
    <w:rsid w:val="0033314B"/>
    <w:rsid w:val="003336F3"/>
    <w:rsid w:val="00340E59"/>
    <w:rsid w:val="003442FD"/>
    <w:rsid w:val="00344440"/>
    <w:rsid w:val="00345494"/>
    <w:rsid w:val="003463B4"/>
    <w:rsid w:val="0035060B"/>
    <w:rsid w:val="003509B2"/>
    <w:rsid w:val="003520CE"/>
    <w:rsid w:val="00353496"/>
    <w:rsid w:val="003537A1"/>
    <w:rsid w:val="00354DF0"/>
    <w:rsid w:val="00356161"/>
    <w:rsid w:val="0035786F"/>
    <w:rsid w:val="0036082B"/>
    <w:rsid w:val="00361771"/>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5F1E"/>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4D31"/>
    <w:rsid w:val="003E5A1C"/>
    <w:rsid w:val="003E5BE7"/>
    <w:rsid w:val="003E71B1"/>
    <w:rsid w:val="003F0FA7"/>
    <w:rsid w:val="003F14A0"/>
    <w:rsid w:val="00401883"/>
    <w:rsid w:val="004020B8"/>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00D3"/>
    <w:rsid w:val="004359EC"/>
    <w:rsid w:val="004365E3"/>
    <w:rsid w:val="0043668D"/>
    <w:rsid w:val="00436C5C"/>
    <w:rsid w:val="00437A10"/>
    <w:rsid w:val="00437D2E"/>
    <w:rsid w:val="00440230"/>
    <w:rsid w:val="00443A98"/>
    <w:rsid w:val="00443F0A"/>
    <w:rsid w:val="004441C7"/>
    <w:rsid w:val="0045002B"/>
    <w:rsid w:val="0045466C"/>
    <w:rsid w:val="00454FD6"/>
    <w:rsid w:val="004568F7"/>
    <w:rsid w:val="00457182"/>
    <w:rsid w:val="004600F8"/>
    <w:rsid w:val="004621C9"/>
    <w:rsid w:val="004631D8"/>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6C68"/>
    <w:rsid w:val="004B1D33"/>
    <w:rsid w:val="004B4BAC"/>
    <w:rsid w:val="004B6E07"/>
    <w:rsid w:val="004C2268"/>
    <w:rsid w:val="004C3C11"/>
    <w:rsid w:val="004C3D67"/>
    <w:rsid w:val="004C6BFC"/>
    <w:rsid w:val="004D08FF"/>
    <w:rsid w:val="004D1405"/>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4AB2"/>
    <w:rsid w:val="005077E1"/>
    <w:rsid w:val="005114FB"/>
    <w:rsid w:val="005116A0"/>
    <w:rsid w:val="00512345"/>
    <w:rsid w:val="00512349"/>
    <w:rsid w:val="00512CB1"/>
    <w:rsid w:val="005162CF"/>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61B2"/>
    <w:rsid w:val="005376C0"/>
    <w:rsid w:val="00541136"/>
    <w:rsid w:val="00545369"/>
    <w:rsid w:val="00545AD7"/>
    <w:rsid w:val="005514D9"/>
    <w:rsid w:val="0055530F"/>
    <w:rsid w:val="00556EBC"/>
    <w:rsid w:val="00565292"/>
    <w:rsid w:val="00566B84"/>
    <w:rsid w:val="00567275"/>
    <w:rsid w:val="00573112"/>
    <w:rsid w:val="0057423E"/>
    <w:rsid w:val="0057467E"/>
    <w:rsid w:val="005753E7"/>
    <w:rsid w:val="00576128"/>
    <w:rsid w:val="00577021"/>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C5E"/>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87C"/>
    <w:rsid w:val="00644A15"/>
    <w:rsid w:val="006462B2"/>
    <w:rsid w:val="006548EB"/>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49BD"/>
    <w:rsid w:val="006A5B90"/>
    <w:rsid w:val="006A7C81"/>
    <w:rsid w:val="006B0C95"/>
    <w:rsid w:val="006B43B2"/>
    <w:rsid w:val="006B442A"/>
    <w:rsid w:val="006B60F9"/>
    <w:rsid w:val="006C05AE"/>
    <w:rsid w:val="006C073A"/>
    <w:rsid w:val="006C0796"/>
    <w:rsid w:val="006C0A77"/>
    <w:rsid w:val="006C16D3"/>
    <w:rsid w:val="006C1E4C"/>
    <w:rsid w:val="006C1E5D"/>
    <w:rsid w:val="006C4150"/>
    <w:rsid w:val="006C489D"/>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6F7928"/>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09A"/>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121"/>
    <w:rsid w:val="007B1295"/>
    <w:rsid w:val="007B2960"/>
    <w:rsid w:val="007B4E56"/>
    <w:rsid w:val="007B6D6F"/>
    <w:rsid w:val="007B7234"/>
    <w:rsid w:val="007B7729"/>
    <w:rsid w:val="007C286B"/>
    <w:rsid w:val="007C2D5A"/>
    <w:rsid w:val="007C38D7"/>
    <w:rsid w:val="007D36F3"/>
    <w:rsid w:val="007D4C9F"/>
    <w:rsid w:val="007E0FEF"/>
    <w:rsid w:val="007E3445"/>
    <w:rsid w:val="007E3B2E"/>
    <w:rsid w:val="007E5D30"/>
    <w:rsid w:val="007E7B1B"/>
    <w:rsid w:val="007F000E"/>
    <w:rsid w:val="007F25BE"/>
    <w:rsid w:val="007F2B3D"/>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1FE4"/>
    <w:rsid w:val="00825E93"/>
    <w:rsid w:val="008262BD"/>
    <w:rsid w:val="00826AB8"/>
    <w:rsid w:val="00827256"/>
    <w:rsid w:val="008302A1"/>
    <w:rsid w:val="00833899"/>
    <w:rsid w:val="0083481F"/>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B6B7A"/>
    <w:rsid w:val="008C0C2A"/>
    <w:rsid w:val="008C14D2"/>
    <w:rsid w:val="008C16E0"/>
    <w:rsid w:val="008C1FDA"/>
    <w:rsid w:val="008C2F17"/>
    <w:rsid w:val="008C47DB"/>
    <w:rsid w:val="008C59AB"/>
    <w:rsid w:val="008C74C7"/>
    <w:rsid w:val="008C756F"/>
    <w:rsid w:val="008C76F9"/>
    <w:rsid w:val="008D14F9"/>
    <w:rsid w:val="008D2B24"/>
    <w:rsid w:val="008D2DAD"/>
    <w:rsid w:val="008D76C2"/>
    <w:rsid w:val="008D77C3"/>
    <w:rsid w:val="008E1A20"/>
    <w:rsid w:val="008E39F7"/>
    <w:rsid w:val="008E5422"/>
    <w:rsid w:val="008E5FBB"/>
    <w:rsid w:val="008F08CE"/>
    <w:rsid w:val="008F1559"/>
    <w:rsid w:val="008F2809"/>
    <w:rsid w:val="008F4085"/>
    <w:rsid w:val="008F5384"/>
    <w:rsid w:val="008F6491"/>
    <w:rsid w:val="008F7E40"/>
    <w:rsid w:val="00900036"/>
    <w:rsid w:val="00900128"/>
    <w:rsid w:val="0090092B"/>
    <w:rsid w:val="00900AD9"/>
    <w:rsid w:val="00902006"/>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17D9"/>
    <w:rsid w:val="00932827"/>
    <w:rsid w:val="009347AE"/>
    <w:rsid w:val="00934902"/>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75310"/>
    <w:rsid w:val="009812D0"/>
    <w:rsid w:val="009815FF"/>
    <w:rsid w:val="0098166F"/>
    <w:rsid w:val="009824BF"/>
    <w:rsid w:val="009824C6"/>
    <w:rsid w:val="00982B6A"/>
    <w:rsid w:val="009836EA"/>
    <w:rsid w:val="00985482"/>
    <w:rsid w:val="0098587D"/>
    <w:rsid w:val="009870F1"/>
    <w:rsid w:val="009871E8"/>
    <w:rsid w:val="009876F1"/>
    <w:rsid w:val="0099545D"/>
    <w:rsid w:val="00995D7B"/>
    <w:rsid w:val="00996348"/>
    <w:rsid w:val="009974E9"/>
    <w:rsid w:val="009A061E"/>
    <w:rsid w:val="009A46D9"/>
    <w:rsid w:val="009A7DA5"/>
    <w:rsid w:val="009B1E7E"/>
    <w:rsid w:val="009B5174"/>
    <w:rsid w:val="009B635F"/>
    <w:rsid w:val="009B76D3"/>
    <w:rsid w:val="009C190F"/>
    <w:rsid w:val="009C191B"/>
    <w:rsid w:val="009C1FA9"/>
    <w:rsid w:val="009C3230"/>
    <w:rsid w:val="009C4E73"/>
    <w:rsid w:val="009C6BEF"/>
    <w:rsid w:val="009D07D8"/>
    <w:rsid w:val="009D0FAB"/>
    <w:rsid w:val="009D1113"/>
    <w:rsid w:val="009D20AF"/>
    <w:rsid w:val="009D2778"/>
    <w:rsid w:val="009D28F2"/>
    <w:rsid w:val="009D4F4D"/>
    <w:rsid w:val="009E187D"/>
    <w:rsid w:val="009E3A57"/>
    <w:rsid w:val="009E5E29"/>
    <w:rsid w:val="009F128C"/>
    <w:rsid w:val="009F23E2"/>
    <w:rsid w:val="009F393B"/>
    <w:rsid w:val="009F46A5"/>
    <w:rsid w:val="009F6700"/>
    <w:rsid w:val="009F7221"/>
    <w:rsid w:val="009F7299"/>
    <w:rsid w:val="00A00FF8"/>
    <w:rsid w:val="00A04655"/>
    <w:rsid w:val="00A06AE6"/>
    <w:rsid w:val="00A10396"/>
    <w:rsid w:val="00A14175"/>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3DAB"/>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897"/>
    <w:rsid w:val="00B20F1C"/>
    <w:rsid w:val="00B26407"/>
    <w:rsid w:val="00B27AFA"/>
    <w:rsid w:val="00B27F91"/>
    <w:rsid w:val="00B32CCB"/>
    <w:rsid w:val="00B35A20"/>
    <w:rsid w:val="00B36F51"/>
    <w:rsid w:val="00B37304"/>
    <w:rsid w:val="00B37422"/>
    <w:rsid w:val="00B401CE"/>
    <w:rsid w:val="00B40898"/>
    <w:rsid w:val="00B428F6"/>
    <w:rsid w:val="00B431DC"/>
    <w:rsid w:val="00B51555"/>
    <w:rsid w:val="00B541A2"/>
    <w:rsid w:val="00B54824"/>
    <w:rsid w:val="00B54D30"/>
    <w:rsid w:val="00B5587B"/>
    <w:rsid w:val="00B565D0"/>
    <w:rsid w:val="00B57748"/>
    <w:rsid w:val="00B608DB"/>
    <w:rsid w:val="00B609EE"/>
    <w:rsid w:val="00B62F61"/>
    <w:rsid w:val="00B65DB6"/>
    <w:rsid w:val="00B66C34"/>
    <w:rsid w:val="00B70218"/>
    <w:rsid w:val="00B70898"/>
    <w:rsid w:val="00B71530"/>
    <w:rsid w:val="00B71D28"/>
    <w:rsid w:val="00B72727"/>
    <w:rsid w:val="00B730A2"/>
    <w:rsid w:val="00B7439E"/>
    <w:rsid w:val="00B77FD4"/>
    <w:rsid w:val="00B8008B"/>
    <w:rsid w:val="00B81928"/>
    <w:rsid w:val="00B824E3"/>
    <w:rsid w:val="00B82D1A"/>
    <w:rsid w:val="00B84236"/>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424"/>
    <w:rsid w:val="00BB37B1"/>
    <w:rsid w:val="00BB7C13"/>
    <w:rsid w:val="00BB7EE7"/>
    <w:rsid w:val="00BC0592"/>
    <w:rsid w:val="00BC2609"/>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07E54"/>
    <w:rsid w:val="00C250CE"/>
    <w:rsid w:val="00C256DE"/>
    <w:rsid w:val="00C259C2"/>
    <w:rsid w:val="00C269A3"/>
    <w:rsid w:val="00C30BDC"/>
    <w:rsid w:val="00C311B0"/>
    <w:rsid w:val="00C438ED"/>
    <w:rsid w:val="00C4424F"/>
    <w:rsid w:val="00C44B7C"/>
    <w:rsid w:val="00C458CB"/>
    <w:rsid w:val="00C463C5"/>
    <w:rsid w:val="00C4797B"/>
    <w:rsid w:val="00C50C75"/>
    <w:rsid w:val="00C50F5C"/>
    <w:rsid w:val="00C533BC"/>
    <w:rsid w:val="00C54E69"/>
    <w:rsid w:val="00C566F1"/>
    <w:rsid w:val="00C61B07"/>
    <w:rsid w:val="00C72083"/>
    <w:rsid w:val="00C74943"/>
    <w:rsid w:val="00C754F3"/>
    <w:rsid w:val="00C82112"/>
    <w:rsid w:val="00C849B9"/>
    <w:rsid w:val="00C87D01"/>
    <w:rsid w:val="00C90C86"/>
    <w:rsid w:val="00C934B9"/>
    <w:rsid w:val="00C93BAD"/>
    <w:rsid w:val="00C93BAF"/>
    <w:rsid w:val="00CA6BF3"/>
    <w:rsid w:val="00CB12AC"/>
    <w:rsid w:val="00CB1772"/>
    <w:rsid w:val="00CB2E20"/>
    <w:rsid w:val="00CB3373"/>
    <w:rsid w:val="00CB7916"/>
    <w:rsid w:val="00CB7F2B"/>
    <w:rsid w:val="00CC0AC4"/>
    <w:rsid w:val="00CC1106"/>
    <w:rsid w:val="00CC3B72"/>
    <w:rsid w:val="00CC4F4F"/>
    <w:rsid w:val="00CC5247"/>
    <w:rsid w:val="00CC5BDA"/>
    <w:rsid w:val="00CD14FA"/>
    <w:rsid w:val="00CD3D33"/>
    <w:rsid w:val="00CD5EA1"/>
    <w:rsid w:val="00CE3D18"/>
    <w:rsid w:val="00CE4547"/>
    <w:rsid w:val="00CE5469"/>
    <w:rsid w:val="00CE5E53"/>
    <w:rsid w:val="00CF28C8"/>
    <w:rsid w:val="00CF3B13"/>
    <w:rsid w:val="00CF3C18"/>
    <w:rsid w:val="00CF7FA2"/>
    <w:rsid w:val="00D01D7F"/>
    <w:rsid w:val="00D02734"/>
    <w:rsid w:val="00D02D74"/>
    <w:rsid w:val="00D036A4"/>
    <w:rsid w:val="00D0391E"/>
    <w:rsid w:val="00D04300"/>
    <w:rsid w:val="00D04B7D"/>
    <w:rsid w:val="00D05A5D"/>
    <w:rsid w:val="00D07487"/>
    <w:rsid w:val="00D10F5F"/>
    <w:rsid w:val="00D11A6B"/>
    <w:rsid w:val="00D12418"/>
    <w:rsid w:val="00D137F3"/>
    <w:rsid w:val="00D13FCA"/>
    <w:rsid w:val="00D17865"/>
    <w:rsid w:val="00D202F4"/>
    <w:rsid w:val="00D20A24"/>
    <w:rsid w:val="00D23140"/>
    <w:rsid w:val="00D24CA0"/>
    <w:rsid w:val="00D27E05"/>
    <w:rsid w:val="00D30991"/>
    <w:rsid w:val="00D32794"/>
    <w:rsid w:val="00D338C3"/>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87E2D"/>
    <w:rsid w:val="00D90D1C"/>
    <w:rsid w:val="00D91A09"/>
    <w:rsid w:val="00D91A5D"/>
    <w:rsid w:val="00D937DD"/>
    <w:rsid w:val="00D9659D"/>
    <w:rsid w:val="00DA0A92"/>
    <w:rsid w:val="00DA0FD3"/>
    <w:rsid w:val="00DA2D4B"/>
    <w:rsid w:val="00DA476E"/>
    <w:rsid w:val="00DA4A68"/>
    <w:rsid w:val="00DA518E"/>
    <w:rsid w:val="00DA675A"/>
    <w:rsid w:val="00DA6DA2"/>
    <w:rsid w:val="00DB1E54"/>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1F14"/>
    <w:rsid w:val="00E22853"/>
    <w:rsid w:val="00E22867"/>
    <w:rsid w:val="00E241CC"/>
    <w:rsid w:val="00E25444"/>
    <w:rsid w:val="00E2642B"/>
    <w:rsid w:val="00E2756A"/>
    <w:rsid w:val="00E30DBD"/>
    <w:rsid w:val="00E31E84"/>
    <w:rsid w:val="00E322C4"/>
    <w:rsid w:val="00E32EA5"/>
    <w:rsid w:val="00E42DB9"/>
    <w:rsid w:val="00E433DE"/>
    <w:rsid w:val="00E4399C"/>
    <w:rsid w:val="00E440B7"/>
    <w:rsid w:val="00E45929"/>
    <w:rsid w:val="00E45C95"/>
    <w:rsid w:val="00E45DBC"/>
    <w:rsid w:val="00E55264"/>
    <w:rsid w:val="00E55E8F"/>
    <w:rsid w:val="00E6249C"/>
    <w:rsid w:val="00E624A8"/>
    <w:rsid w:val="00E647E9"/>
    <w:rsid w:val="00E65229"/>
    <w:rsid w:val="00E66367"/>
    <w:rsid w:val="00E6764D"/>
    <w:rsid w:val="00E72F6A"/>
    <w:rsid w:val="00E74E5D"/>
    <w:rsid w:val="00E75517"/>
    <w:rsid w:val="00E77151"/>
    <w:rsid w:val="00E80847"/>
    <w:rsid w:val="00E81001"/>
    <w:rsid w:val="00E830DF"/>
    <w:rsid w:val="00E84132"/>
    <w:rsid w:val="00E8687F"/>
    <w:rsid w:val="00E86B6C"/>
    <w:rsid w:val="00E902A2"/>
    <w:rsid w:val="00E902F4"/>
    <w:rsid w:val="00E913C9"/>
    <w:rsid w:val="00E94026"/>
    <w:rsid w:val="00E9576D"/>
    <w:rsid w:val="00EA0111"/>
    <w:rsid w:val="00EA0509"/>
    <w:rsid w:val="00EA1147"/>
    <w:rsid w:val="00EA265F"/>
    <w:rsid w:val="00EA2844"/>
    <w:rsid w:val="00EA2927"/>
    <w:rsid w:val="00EA3F00"/>
    <w:rsid w:val="00EA54C4"/>
    <w:rsid w:val="00EA588E"/>
    <w:rsid w:val="00EA5B61"/>
    <w:rsid w:val="00EA5D9F"/>
    <w:rsid w:val="00EA6BFD"/>
    <w:rsid w:val="00EA6C25"/>
    <w:rsid w:val="00EB4E9F"/>
    <w:rsid w:val="00EB50EA"/>
    <w:rsid w:val="00EB7729"/>
    <w:rsid w:val="00EC1AF7"/>
    <w:rsid w:val="00EC25C5"/>
    <w:rsid w:val="00EC2F8F"/>
    <w:rsid w:val="00EC3957"/>
    <w:rsid w:val="00EC46F6"/>
    <w:rsid w:val="00EC50E6"/>
    <w:rsid w:val="00EC59F7"/>
    <w:rsid w:val="00EC7F10"/>
    <w:rsid w:val="00ED0EA7"/>
    <w:rsid w:val="00ED2D93"/>
    <w:rsid w:val="00ED41FE"/>
    <w:rsid w:val="00ED5083"/>
    <w:rsid w:val="00ED5EBD"/>
    <w:rsid w:val="00ED68CD"/>
    <w:rsid w:val="00EE144B"/>
    <w:rsid w:val="00EE1FB9"/>
    <w:rsid w:val="00EE612D"/>
    <w:rsid w:val="00EF2536"/>
    <w:rsid w:val="00EF2717"/>
    <w:rsid w:val="00EF3153"/>
    <w:rsid w:val="00EF36EC"/>
    <w:rsid w:val="00EF6785"/>
    <w:rsid w:val="00EF6C52"/>
    <w:rsid w:val="00F007EC"/>
    <w:rsid w:val="00F05A17"/>
    <w:rsid w:val="00F12CD4"/>
    <w:rsid w:val="00F178D6"/>
    <w:rsid w:val="00F17D64"/>
    <w:rsid w:val="00F237E1"/>
    <w:rsid w:val="00F24CF2"/>
    <w:rsid w:val="00F257AB"/>
    <w:rsid w:val="00F26282"/>
    <w:rsid w:val="00F26D76"/>
    <w:rsid w:val="00F31D66"/>
    <w:rsid w:val="00F324BE"/>
    <w:rsid w:val="00F3601E"/>
    <w:rsid w:val="00F3757F"/>
    <w:rsid w:val="00F37836"/>
    <w:rsid w:val="00F404F4"/>
    <w:rsid w:val="00F407EB"/>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8181B"/>
    <w:rsid w:val="00F81994"/>
    <w:rsid w:val="00F8274D"/>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C5606"/>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it-I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it-IT"/>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4967</Characters>
  <Application>Microsoft Office Word</Application>
  <DocSecurity>4</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5744</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2025-09-03T10:26:00Z</cp:lastPrinted>
  <dcterms:created xsi:type="dcterms:W3CDTF">2025-09-12T07:40:00Z</dcterms:created>
  <dcterms:modified xsi:type="dcterms:W3CDTF">2025-09-12T07:40:00Z</dcterms:modified>
</cp:coreProperties>
</file>