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C58C4" w14:textId="77777777" w:rsidR="003F1801" w:rsidRDefault="003509B2" w:rsidP="003509B2">
      <w:pPr>
        <w:pStyle w:val="NurText"/>
        <w:ind w:right="-851"/>
        <w:rPr>
          <w:rFonts w:ascii="Open Sans" w:hAnsi="Open Sans"/>
          <w:sz w:val="24"/>
        </w:rPr>
      </w:pPr>
      <w:r>
        <w:rPr>
          <w:rFonts w:ascii="Open Sans" w:hAnsi="Open Sans"/>
          <w:sz w:val="24"/>
        </w:rPr>
        <w:t>Compact, flexible, highly efficient, and easy to install</w:t>
      </w:r>
    </w:p>
    <w:p w14:paraId="0083F80E" w14:textId="40B9F366" w:rsidR="003F1801" w:rsidRDefault="003509B2" w:rsidP="00125C8C">
      <w:pPr>
        <w:pStyle w:val="NurText"/>
        <w:ind w:right="283"/>
        <w:rPr>
          <w:rFonts w:ascii="Open Sans" w:hAnsi="Open Sans"/>
          <w:b/>
          <w:sz w:val="28"/>
        </w:rPr>
      </w:pPr>
      <w:r>
        <w:rPr>
          <w:rFonts w:ascii="Open Sans" w:hAnsi="Open Sans"/>
          <w:b/>
          <w:sz w:val="28"/>
        </w:rPr>
        <w:br/>
        <w:t>CUBE robot welding cells by Lorch – the</w:t>
      </w:r>
      <w:r w:rsidR="003F1801">
        <w:rPr>
          <w:rFonts w:ascii="Open Sans" w:hAnsi="Open Sans"/>
          <w:b/>
          <w:sz w:val="28"/>
        </w:rPr>
        <w:t xml:space="preserve"> </w:t>
      </w:r>
      <w:r>
        <w:rPr>
          <w:rFonts w:ascii="Open Sans" w:hAnsi="Open Sans"/>
          <w:b/>
          <w:sz w:val="28"/>
        </w:rPr>
        <w:t>perfect introduction to welding automation</w:t>
      </w:r>
    </w:p>
    <w:p w14:paraId="0A2F18CB" w14:textId="63564AE4" w:rsidR="00125C8C" w:rsidRPr="00760571" w:rsidRDefault="00125C8C" w:rsidP="00125C8C">
      <w:pPr>
        <w:pStyle w:val="NurText"/>
        <w:ind w:right="283"/>
        <w:rPr>
          <w:rFonts w:ascii="Open Sans" w:hAnsi="Open Sans" w:cs="Open Sans"/>
          <w:b/>
          <w:sz w:val="28"/>
          <w:szCs w:val="28"/>
        </w:rPr>
      </w:pPr>
    </w:p>
    <w:p w14:paraId="13387211" w14:textId="7954985F" w:rsidR="003F1801" w:rsidRDefault="00760571" w:rsidP="00387663">
      <w:pPr>
        <w:ind w:right="-1"/>
        <w:rPr>
          <w:rFonts w:ascii="Open Sans" w:hAnsi="Open Sans"/>
          <w:i/>
          <w:sz w:val="20"/>
        </w:rPr>
      </w:pPr>
      <w:r>
        <w:rPr>
          <w:rFonts w:ascii="Open Sans" w:hAnsi="Open Sans"/>
          <w:i/>
          <w:sz w:val="20"/>
        </w:rPr>
        <w:t xml:space="preserve">Companies can now start automated welding even more easily: Lorch Schweißtechnik offers a portfolio of five new robot welding cells that are designed extremely space-savingly and </w:t>
      </w:r>
      <w:r w:rsidR="003F1801">
        <w:rPr>
          <w:rFonts w:ascii="Open Sans" w:hAnsi="Open Sans"/>
          <w:i/>
          <w:sz w:val="20"/>
        </w:rPr>
        <w:t>carry</w:t>
      </w:r>
      <w:r>
        <w:rPr>
          <w:rFonts w:ascii="Open Sans" w:hAnsi="Open Sans"/>
          <w:i/>
          <w:sz w:val="20"/>
        </w:rPr>
        <w:t xml:space="preserve"> </w:t>
      </w:r>
      <w:r w:rsidR="003F1801" w:rsidRPr="003F1801">
        <w:rPr>
          <w:rFonts w:ascii="Open Sans" w:hAnsi="Open Sans"/>
          <w:i/>
          <w:sz w:val="20"/>
        </w:rPr>
        <w:t>Lorch’s</w:t>
      </w:r>
      <w:r>
        <w:rPr>
          <w:rFonts w:ascii="Open Sans" w:hAnsi="Open Sans"/>
          <w:i/>
          <w:sz w:val="20"/>
        </w:rPr>
        <w:t xml:space="preserve"> high-performance equipment. They can be quickly integrated into any production environment. These high-end compact cells designed in cooperation with the affiliate OTC DAIHEN EUROPE GmbH contain state-of-the art robot systems from DAIHEN Corporation that have been developed specifically for welding. Globally active DAIHEN Corporation counts amongst the market leaders in robotics.</w:t>
      </w:r>
    </w:p>
    <w:p w14:paraId="237A77F1" w14:textId="31E7586F" w:rsidR="00E433DE" w:rsidRDefault="00A00FF8" w:rsidP="00387663">
      <w:pPr>
        <w:ind w:right="-1"/>
        <w:rPr>
          <w:rFonts w:ascii="Open Sans" w:hAnsi="Open Sans" w:cs="Open Sans"/>
          <w:sz w:val="20"/>
          <w:szCs w:val="20"/>
        </w:rPr>
      </w:pPr>
      <w:r>
        <w:rPr>
          <w:rFonts w:ascii="Open Sans" w:hAnsi="Open Sans"/>
          <w:sz w:val="20"/>
        </w:rPr>
        <w:t>The new systems correspond to the highest industrial standards and are characterised by extraordinary performance, precision, and reliability. The individual components – industrial robots, welding current source, welding equipment, positioning technology, control cabinet, and the CE-certified safety technology – are optimally coordinated with each other. This allows a quick and easy start into automated robot welding. Their compact design makes it easy to transport the welding cells by lorry and permits quick commissioning without any additional installation work.</w:t>
      </w:r>
    </w:p>
    <w:p w14:paraId="2A419B16" w14:textId="2C5FC3A0" w:rsidR="003F1801" w:rsidRDefault="002A5286" w:rsidP="00387663">
      <w:pPr>
        <w:ind w:right="-1"/>
        <w:rPr>
          <w:rFonts w:ascii="Open Sans" w:hAnsi="Open Sans"/>
          <w:sz w:val="20"/>
        </w:rPr>
      </w:pPr>
      <w:r>
        <w:rPr>
          <w:rFonts w:ascii="Open Sans" w:hAnsi="Open Sans"/>
          <w:sz w:val="20"/>
        </w:rPr>
        <w:t xml:space="preserve">The CUBE robot welding cells are available in five different versions. They are equipped by default with the </w:t>
      </w:r>
      <w:r w:rsidR="00F54768">
        <w:rPr>
          <w:rFonts w:ascii="Open Sans" w:hAnsi="Open Sans"/>
          <w:sz w:val="20"/>
        </w:rPr>
        <w:t>versatile</w:t>
      </w:r>
      <w:r>
        <w:rPr>
          <w:rFonts w:ascii="Open Sans" w:hAnsi="Open Sans"/>
          <w:sz w:val="20"/>
        </w:rPr>
        <w:t xml:space="preserve"> FD19 generation six-axis robot by OTC, which is known for its high speed and accuracy. </w:t>
      </w:r>
      <w:r w:rsidR="00AD231F">
        <w:rPr>
          <w:rFonts w:ascii="Open Sans" w:hAnsi="Open Sans"/>
          <w:sz w:val="20"/>
        </w:rPr>
        <w:t>CUBE 0</w:t>
      </w:r>
      <w:r>
        <w:rPr>
          <w:rFonts w:ascii="Open Sans" w:hAnsi="Open Sans"/>
          <w:sz w:val="20"/>
        </w:rPr>
        <w:t xml:space="preserve">1 has two fixed tables (1000 x 800 millimetres), permitting highly efficient serial production in cyclic </w:t>
      </w:r>
      <w:r w:rsidR="003F1801" w:rsidRPr="003F1801">
        <w:rPr>
          <w:rFonts w:ascii="Open Sans" w:hAnsi="Open Sans"/>
          <w:sz w:val="20"/>
        </w:rPr>
        <w:t>operation</w:t>
      </w:r>
      <w:r w:rsidR="003F1801">
        <w:rPr>
          <w:rFonts w:ascii="Open Sans" w:hAnsi="Open Sans"/>
          <w:sz w:val="20"/>
        </w:rPr>
        <w:t xml:space="preserve"> </w:t>
      </w:r>
      <w:r>
        <w:rPr>
          <w:rFonts w:ascii="Open Sans" w:hAnsi="Open Sans"/>
          <w:sz w:val="20"/>
        </w:rPr>
        <w:t xml:space="preserve">with </w:t>
      </w:r>
      <w:r w:rsidR="00AD231F" w:rsidRPr="00AD231F">
        <w:rPr>
          <w:rFonts w:ascii="Open Sans" w:hAnsi="Open Sans"/>
          <w:sz w:val="20"/>
        </w:rPr>
        <w:t>optimally coordinated cycle times</w:t>
      </w:r>
      <w:r>
        <w:rPr>
          <w:rFonts w:ascii="Open Sans" w:hAnsi="Open Sans"/>
          <w:sz w:val="20"/>
        </w:rPr>
        <w:t xml:space="preserve">. </w:t>
      </w:r>
      <w:r w:rsidR="00AD231F">
        <w:rPr>
          <w:rFonts w:ascii="Open Sans" w:hAnsi="Open Sans"/>
          <w:sz w:val="20"/>
        </w:rPr>
        <w:t>CUBE 0</w:t>
      </w:r>
      <w:r>
        <w:rPr>
          <w:rFonts w:ascii="Open Sans" w:hAnsi="Open Sans"/>
          <w:sz w:val="20"/>
        </w:rPr>
        <w:t xml:space="preserve">2 works with a 180-degree cycling table that can be turned via a motor, while </w:t>
      </w:r>
      <w:r w:rsidR="00AD231F">
        <w:rPr>
          <w:rFonts w:ascii="Open Sans" w:hAnsi="Open Sans"/>
          <w:sz w:val="20"/>
        </w:rPr>
        <w:t>CUBE 0</w:t>
      </w:r>
      <w:r>
        <w:rPr>
          <w:rFonts w:ascii="Open Sans" w:hAnsi="Open Sans"/>
          <w:sz w:val="20"/>
        </w:rPr>
        <w:t xml:space="preserve">3 has two horizontal rotating positioners in different carrying load classes available. </w:t>
      </w:r>
      <w:r w:rsidR="00AD231F">
        <w:rPr>
          <w:rFonts w:ascii="Open Sans" w:hAnsi="Open Sans"/>
          <w:sz w:val="20"/>
        </w:rPr>
        <w:t>CUBE 0</w:t>
      </w:r>
      <w:r>
        <w:rPr>
          <w:rFonts w:ascii="Open Sans" w:hAnsi="Open Sans"/>
          <w:sz w:val="20"/>
        </w:rPr>
        <w:t xml:space="preserve">4 comprises two stations with horizontal turning positioners and </w:t>
      </w:r>
      <w:r w:rsidR="00AD231F">
        <w:rPr>
          <w:rFonts w:ascii="Open Sans" w:hAnsi="Open Sans"/>
          <w:sz w:val="20"/>
        </w:rPr>
        <w:t>CUBE 0</w:t>
      </w:r>
      <w:r>
        <w:rPr>
          <w:rFonts w:ascii="Open Sans" w:hAnsi="Open Sans"/>
          <w:sz w:val="20"/>
        </w:rPr>
        <w:t>5 has 2x2-axis-tilt-turn positioners. All cells come in an encapsulated design, with roof extraction sockets, compressed-air connection, LED-lighting, and status lamps for the corresponding production status.</w:t>
      </w:r>
    </w:p>
    <w:p w14:paraId="0A5DB030" w14:textId="4773383F" w:rsidR="003F1801" w:rsidRDefault="003F1801" w:rsidP="00387663">
      <w:pPr>
        <w:ind w:right="-1"/>
        <w:rPr>
          <w:rFonts w:ascii="Open Sans" w:hAnsi="Open Sans"/>
          <w:sz w:val="20"/>
        </w:rPr>
      </w:pPr>
    </w:p>
    <w:p w14:paraId="52041310" w14:textId="79703950" w:rsidR="003F1801" w:rsidRDefault="00F54768" w:rsidP="00387663">
      <w:pPr>
        <w:ind w:right="-1"/>
        <w:rPr>
          <w:rFonts w:ascii="Open Sans" w:hAnsi="Open Sans"/>
          <w:sz w:val="20"/>
        </w:rPr>
      </w:pPr>
      <w:r w:rsidRPr="00F54768">
        <w:rPr>
          <w:rFonts w:ascii="Open Sans" w:hAnsi="Open Sans"/>
          <w:sz w:val="20"/>
        </w:rPr>
        <w:t>The powerful S-</w:t>
      </w:r>
      <w:proofErr w:type="spellStart"/>
      <w:r w:rsidRPr="00F54768">
        <w:rPr>
          <w:rFonts w:ascii="Open Sans" w:hAnsi="Open Sans"/>
          <w:sz w:val="20"/>
        </w:rPr>
        <w:t>RoboMIG</w:t>
      </w:r>
      <w:proofErr w:type="spellEnd"/>
      <w:r w:rsidRPr="00F54768">
        <w:rPr>
          <w:rFonts w:ascii="Open Sans" w:hAnsi="Open Sans"/>
          <w:sz w:val="20"/>
        </w:rPr>
        <w:t xml:space="preserve"> XT series from Lorch is available as a welding power source for MIG-MAG applications</w:t>
      </w:r>
      <w:r w:rsidR="009F23E2">
        <w:rPr>
          <w:rFonts w:ascii="Open Sans" w:hAnsi="Open Sans"/>
          <w:sz w:val="20"/>
        </w:rPr>
        <w:t xml:space="preserve">. State-of-the art processor technology </w:t>
      </w:r>
      <w:r w:rsidR="009F23E2">
        <w:rPr>
          <w:rFonts w:ascii="Open Sans" w:hAnsi="Open Sans"/>
          <w:sz w:val="20"/>
        </w:rPr>
        <w:lastRenderedPageBreak/>
        <w:t>and light</w:t>
      </w:r>
      <w:r w:rsidR="00AD231F">
        <w:rPr>
          <w:rFonts w:ascii="Open Sans" w:hAnsi="Open Sans"/>
          <w:sz w:val="20"/>
        </w:rPr>
        <w:t>n</w:t>
      </w:r>
      <w:r w:rsidR="009F23E2">
        <w:rPr>
          <w:rFonts w:ascii="Open Sans" w:hAnsi="Open Sans"/>
          <w:sz w:val="20"/>
        </w:rPr>
        <w:t>ing-fast control technology maximise arc performance and optimise results in all welding processes. Every CUBE robot cell is delivered with the pre-installed Lorch “SpeedPulse” process package that comprises the MIG-MAG synergy and MIG-MAG pulse processes, TwinPulse, TwinPulse XT, SpeedPulse, SpeedPulse XT, and SpeedArc XT. TIG welding is possible with the tried and tested Lorch V-RoboTIG. Its contact-free HF ignition warrants increased arc stability and optimises material transition.</w:t>
      </w:r>
      <w:r w:rsidR="00AD231F">
        <w:rPr>
          <w:rFonts w:ascii="Open Sans" w:hAnsi="Open Sans"/>
          <w:sz w:val="20"/>
        </w:rPr>
        <w:t xml:space="preserve"> </w:t>
      </w:r>
      <w:r w:rsidR="009F23E2">
        <w:rPr>
          <w:rFonts w:ascii="Open Sans" w:hAnsi="Open Sans"/>
          <w:sz w:val="20"/>
        </w:rPr>
        <w:t>The V-RoboTIG combines best arc properties with a high duty cycle and outstanding performance. The TIG robot cells are delivered with the corresponding TIG cold-wire equipment (TIG control unit, feed, torch, and holder).</w:t>
      </w:r>
    </w:p>
    <w:p w14:paraId="48C7B4E1" w14:textId="77777777" w:rsidR="003F1801" w:rsidRDefault="00272529" w:rsidP="00387663">
      <w:pPr>
        <w:ind w:right="-1"/>
        <w:rPr>
          <w:rFonts w:ascii="Open Sans" w:hAnsi="Open Sans"/>
          <w:sz w:val="20"/>
        </w:rPr>
      </w:pPr>
      <w:r>
        <w:rPr>
          <w:rFonts w:ascii="Open Sans" w:hAnsi="Open Sans"/>
          <w:sz w:val="20"/>
        </w:rPr>
        <w:t>“With its CUBE robot welding cells, Lorch offers an ideal solution for all companies aiming to start automation of their welding tasks. The cells take up little space. They are quick to set up and very easy to integrate into any production environment. Since the individual components are optimally coordinated, installation is very fast,” Heiko Hedderoth, Senior product manager for automation and in charge of the robot welding area at Lorch Schweißtechnik, summarises the advantages. “By joining forces with OTC, we can quickly access their entire know-how and are able to implement customer-specific adjustments on short notice as well.”</w:t>
      </w:r>
    </w:p>
    <w:p w14:paraId="3073083D" w14:textId="77777777" w:rsidR="003F1801" w:rsidRDefault="003F1801" w:rsidP="00387663">
      <w:pPr>
        <w:ind w:right="-1"/>
        <w:rPr>
          <w:rFonts w:ascii="Open Sans" w:hAnsi="Open Sans"/>
          <w:sz w:val="20"/>
        </w:rPr>
      </w:pPr>
    </w:p>
    <w:p w14:paraId="1BD07E87" w14:textId="74BF708E" w:rsidR="005C77AF" w:rsidRPr="00760571" w:rsidRDefault="005C77AF" w:rsidP="000679E6">
      <w:pPr>
        <w:spacing w:after="0" w:line="240" w:lineRule="auto"/>
        <w:ind w:right="283"/>
        <w:rPr>
          <w:rFonts w:ascii="Open Sans" w:hAnsi="Open Sans" w:cs="Open Sans"/>
          <w:i/>
          <w:sz w:val="20"/>
          <w:szCs w:val="20"/>
        </w:rPr>
      </w:pPr>
      <w:r>
        <w:rPr>
          <w:rFonts w:ascii="Open Sans" w:hAnsi="Open Sans"/>
          <w:i/>
          <w:sz w:val="20"/>
        </w:rPr>
        <w:t>Lorch Schweißtechnik GmbH is a leading manufacturer of arc welding systems for industrial applications, the demanding metal craft, as well as for use in automation with robots and collaborative robot systems. Lorch high-quality systems have been produced in one of the world’s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2F5F18D6" w14:textId="37FDF6D3" w:rsidR="00857128" w:rsidRPr="00760571" w:rsidRDefault="00857128" w:rsidP="000679E6">
      <w:pPr>
        <w:spacing w:after="0" w:line="240" w:lineRule="auto"/>
        <w:ind w:right="283"/>
        <w:rPr>
          <w:rFonts w:ascii="Open Sans" w:hAnsi="Open Sans" w:cs="Open Sans"/>
          <w:i/>
          <w:sz w:val="20"/>
          <w:szCs w:val="20"/>
        </w:rPr>
      </w:pPr>
    </w:p>
    <w:p w14:paraId="237BD225" w14:textId="6039931B" w:rsidR="0064487C" w:rsidRPr="00760571" w:rsidRDefault="0064487C" w:rsidP="0064487C">
      <w:pPr>
        <w:pStyle w:val="NurText"/>
        <w:ind w:right="-1"/>
        <w:rPr>
          <w:rFonts w:ascii="Open Sans" w:eastAsia="Times New Roman" w:hAnsi="Open Sans" w:cs="Open Sans"/>
          <w:sz w:val="20"/>
          <w:szCs w:val="20"/>
          <w:lang w:eastAsia="de-DE"/>
        </w:rPr>
      </w:pPr>
    </w:p>
    <w:p w14:paraId="06EC27B7" w14:textId="77777777" w:rsidR="00F8181B"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628E0666" w14:textId="6F4DE521" w:rsidR="001C307F" w:rsidRPr="004B7AEB"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noProof/>
          <w:color w:val="auto"/>
          <w:sz w:val="20"/>
        </w:rPr>
        <w:lastRenderedPageBreak/>
        <w:drawing>
          <wp:anchor distT="0" distB="0" distL="114300" distR="114300" simplePos="0" relativeHeight="251658240" behindDoc="0" locked="0" layoutInCell="1" allowOverlap="1" wp14:anchorId="176BA014" wp14:editId="1A20E713">
            <wp:simplePos x="0" y="0"/>
            <wp:positionH relativeFrom="column">
              <wp:posOffset>22225</wp:posOffset>
            </wp:positionH>
            <wp:positionV relativeFrom="paragraph">
              <wp:posOffset>635</wp:posOffset>
            </wp:positionV>
            <wp:extent cx="4053205" cy="2539365"/>
            <wp:effectExtent l="0" t="0" r="0" b="635"/>
            <wp:wrapTopAndBottom/>
            <wp:docPr id="1117714954" name="Grafik 1" descr="Ein Bild, das Maschine, Robo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4954" name="Grafik 1" descr="Ein Bild, das Maschine, Roboter,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253936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olor w:val="auto"/>
          <w:sz w:val="20"/>
        </w:rPr>
        <w:t>Figure 01: All CUBE robot welding cells come with the robust and diverse six-axis robots of the FD19 generation of OTC Daihen, warranting high speed and accuracy.</w:t>
      </w:r>
      <w:r w:rsidR="00AD231F">
        <w:rPr>
          <w:rFonts w:ascii="Open Sans" w:hAnsi="Open Sans"/>
          <w:color w:val="auto"/>
          <w:sz w:val="20"/>
        </w:rPr>
        <w:t xml:space="preserve"> </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p>
    <w:p w14:paraId="57F9AC23" w14:textId="3FDF0990"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D99029D" w14:textId="46AFB04F" w:rsidR="001C307F" w:rsidRDefault="004B7AE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59264" behindDoc="0" locked="0" layoutInCell="1" allowOverlap="1" wp14:anchorId="3F12F857" wp14:editId="7CAB8B36">
            <wp:simplePos x="0" y="0"/>
            <wp:positionH relativeFrom="column">
              <wp:posOffset>22225</wp:posOffset>
            </wp:positionH>
            <wp:positionV relativeFrom="paragraph">
              <wp:posOffset>182245</wp:posOffset>
            </wp:positionV>
            <wp:extent cx="3535045" cy="2827655"/>
            <wp:effectExtent l="0" t="0" r="0" b="0"/>
            <wp:wrapTopAndBottom/>
            <wp:docPr id="1842112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260" name="Grafik 1842112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45" cy="2827655"/>
                    </a:xfrm>
                    <a:prstGeom prst="rect">
                      <a:avLst/>
                    </a:prstGeom>
                  </pic:spPr>
                </pic:pic>
              </a:graphicData>
            </a:graphic>
            <wp14:sizeRelH relativeFrom="page">
              <wp14:pctWidth>0</wp14:pctWidth>
            </wp14:sizeRelH>
            <wp14:sizeRelV relativeFrom="page">
              <wp14:pctHeight>0</wp14:pctHeight>
            </wp14:sizeRelV>
          </wp:anchor>
        </w:drawing>
      </w:r>
    </w:p>
    <w:p w14:paraId="21066D11" w14:textId="2E5B7008" w:rsidR="003F1801"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olor w:val="auto"/>
          <w:sz w:val="20"/>
        </w:rPr>
      </w:pPr>
      <w:r>
        <w:rPr>
          <w:rFonts w:ascii="Open Sans" w:hAnsi="Open Sans"/>
          <w:color w:val="auto"/>
          <w:sz w:val="20"/>
        </w:rPr>
        <w:t xml:space="preserve">Figure 02: Compact and easy to install: The high-end compact CUBE </w:t>
      </w:r>
      <w:r w:rsidR="00AD231F">
        <w:rPr>
          <w:rFonts w:ascii="Open Sans" w:hAnsi="Open Sans"/>
          <w:color w:val="auto"/>
          <w:sz w:val="20"/>
        </w:rPr>
        <w:t xml:space="preserve">cells </w:t>
      </w:r>
      <w:r>
        <w:rPr>
          <w:rFonts w:ascii="Open Sans" w:hAnsi="Open Sans"/>
          <w:color w:val="auto"/>
          <w:sz w:val="20"/>
        </w:rPr>
        <w:t>are available in five versions with optimally coordinated components.</w:t>
      </w:r>
    </w:p>
    <w:p w14:paraId="477A7C36" w14:textId="480FCBB3"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B119742" w14:textId="26FA55C7" w:rsidR="003E2327"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lastRenderedPageBreak/>
        <w:drawing>
          <wp:anchor distT="0" distB="0" distL="114300" distR="114300" simplePos="0" relativeHeight="251660288" behindDoc="0" locked="0" layoutInCell="1" allowOverlap="1" wp14:anchorId="1C9E3596" wp14:editId="6D9B70C7">
            <wp:simplePos x="0" y="0"/>
            <wp:positionH relativeFrom="margin">
              <wp:posOffset>284480</wp:posOffset>
            </wp:positionH>
            <wp:positionV relativeFrom="paragraph">
              <wp:posOffset>635</wp:posOffset>
            </wp:positionV>
            <wp:extent cx="1881505" cy="2286000"/>
            <wp:effectExtent l="0" t="0" r="0" b="0"/>
            <wp:wrapSquare wrapText="bothSides"/>
            <wp:docPr id="1733558762" name="Grafik 3" descr="Ein Bild, das Maschine, Mo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8762" name="Grafik 3" descr="Ein Bild, das Maschine, Mot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2286000"/>
                    </a:xfrm>
                    <a:prstGeom prst="rect">
                      <a:avLst/>
                    </a:prstGeom>
                  </pic:spPr>
                </pic:pic>
              </a:graphicData>
            </a:graphic>
            <wp14:sizeRelH relativeFrom="page">
              <wp14:pctWidth>0</wp14:pctWidth>
            </wp14:sizeRelH>
            <wp14:sizeRelV relativeFrom="page">
              <wp14:pctHeight>0</wp14:pctHeight>
            </wp14:sizeRelV>
          </wp:anchor>
        </w:drawing>
      </w:r>
    </w:p>
    <w:p w14:paraId="3159B2E8" w14:textId="08F480B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AF1BF99" w14:textId="4FDBF63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22F45E0" w14:textId="34EB5217"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531857C"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86E7949"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32EEB268"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F0959FE"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18A5B33" w14:textId="68CF5366" w:rsidR="00F8181B" w:rsidRPr="003346F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color w:val="auto"/>
          <w:sz w:val="20"/>
        </w:rPr>
        <w:t>Figure 03: The high-performance S-RobotMIG series by Lorch with the pre-installed “SpeedPulse” package is the optimal MIG-MAG welding current source.</w:t>
      </w:r>
      <w:r>
        <w:rPr>
          <w:rFonts w:ascii="Open Sans" w:hAnsi="Open Sans"/>
          <w:b/>
          <w:color w:val="auto"/>
          <w:sz w:val="20"/>
        </w:rPr>
        <w:t xml:space="preserve"> </w:t>
      </w:r>
      <w:r>
        <w:rPr>
          <w:rFonts w:ascii="Open Sans" w:hAnsi="Open Sans"/>
          <w:color w:val="auto"/>
          <w:sz w:val="20"/>
        </w:rPr>
        <w:t>The TIG area uses the tried and tested V-RoboTIG.</w:t>
      </w:r>
      <w:r w:rsidR="00AD231F">
        <w:rPr>
          <w:rFonts w:ascii="Open Sans" w:hAnsi="Open Sans"/>
          <w:color w:val="auto"/>
          <w:sz w:val="20"/>
        </w:rPr>
        <w:t xml:space="preserve"> </w:t>
      </w:r>
      <w:r>
        <w:rPr>
          <w:rFonts w:ascii="Open Sans" w:hAnsi="Open Sans"/>
          <w:color w:val="auto"/>
          <w:sz w:val="20"/>
        </w:rPr>
        <w:tab/>
      </w:r>
      <w:r>
        <w:rPr>
          <w:rFonts w:ascii="Open Sans" w:hAnsi="Open Sans"/>
          <w:color w:val="auto"/>
          <w:sz w:val="20"/>
        </w:rPr>
        <w:tab/>
      </w:r>
      <w:r>
        <w:rPr>
          <w:rFonts w:ascii="Open Sans" w:hAnsi="Open Sans"/>
          <w:b/>
          <w:color w:val="auto"/>
          <w:sz w:val="20"/>
        </w:rPr>
        <w:tab/>
      </w:r>
    </w:p>
    <w:p w14:paraId="737633DC" w14:textId="0FD6F183"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1C57184" w14:textId="43FBDCAC" w:rsidR="001C307F"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61312" behindDoc="0" locked="0" layoutInCell="1" allowOverlap="1" wp14:anchorId="6410D3E8" wp14:editId="1C97D1CC">
            <wp:simplePos x="0" y="0"/>
            <wp:positionH relativeFrom="margin">
              <wp:posOffset>34925</wp:posOffset>
            </wp:positionH>
            <wp:positionV relativeFrom="paragraph">
              <wp:posOffset>304589</wp:posOffset>
            </wp:positionV>
            <wp:extent cx="2008800" cy="1904400"/>
            <wp:effectExtent l="0" t="0" r="0" b="0"/>
            <wp:wrapTopAndBottom/>
            <wp:docPr id="1489147177" name="Grafik 4" descr="Ein Bild, das Maschine, Roboter, Spielzeug,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177" name="Grafik 4" descr="Ein Bild, das Maschine, Roboter, Spielzeug, Werkzeu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800" cy="1904400"/>
                    </a:xfrm>
                    <a:prstGeom prst="rect">
                      <a:avLst/>
                    </a:prstGeom>
                  </pic:spPr>
                </pic:pic>
              </a:graphicData>
            </a:graphic>
            <wp14:sizeRelH relativeFrom="page">
              <wp14:pctWidth>0</wp14:pctWidth>
            </wp14:sizeRelH>
            <wp14:sizeRelV relativeFrom="page">
              <wp14:pctHeight>0</wp14:pctHeight>
            </wp14:sizeRelV>
          </wp:anchor>
        </w:drawing>
      </w:r>
    </w:p>
    <w:p w14:paraId="368AC26E" w14:textId="77777777" w:rsidR="003F1801"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olor w:val="auto"/>
          <w:sz w:val="20"/>
        </w:rPr>
      </w:pPr>
      <w:r>
        <w:rPr>
          <w:rFonts w:ascii="Open Sans" w:hAnsi="Open Sans"/>
          <w:color w:val="auto"/>
          <w:sz w:val="20"/>
        </w:rPr>
        <w:t>Figure 04: In addition to the power source, all other components, such as wire feed, torch, and holder, are precisely aligned with the high-performance robot.</w:t>
      </w:r>
    </w:p>
    <w:p w14:paraId="6CB2AC8C" w14:textId="0E92F341"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7786C5B" w14:textId="39B317D2"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0C626D8" w14:textId="77777777" w:rsidR="003F180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b/>
          <w:color w:val="auto"/>
          <w:sz w:val="20"/>
        </w:rPr>
      </w:pPr>
      <w:r>
        <w:rPr>
          <w:rFonts w:ascii="Open Sans" w:hAnsi="Open Sans"/>
          <w:b/>
          <w:color w:val="auto"/>
          <w:sz w:val="20"/>
        </w:rPr>
        <w:lastRenderedPageBreak/>
        <w:t>Press contact:</w:t>
      </w:r>
    </w:p>
    <w:p w14:paraId="661C5F71" w14:textId="0451CA2F"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Michaela Schreiter</w:t>
      </w:r>
      <w:r>
        <w:rPr>
          <w:rFonts w:ascii="Open Sans" w:hAnsi="Open Sans"/>
          <w:color w:val="auto"/>
          <w:sz w:val="20"/>
        </w:rPr>
        <w:br/>
        <w:t>P +49 7191 503-0</w:t>
      </w:r>
      <w:r>
        <w:rPr>
          <w:rFonts w:ascii="Open Sans" w:hAnsi="Open Sans"/>
          <w:color w:val="auto"/>
          <w:sz w:val="20"/>
        </w:rPr>
        <w:br/>
        <w:t>F +49 7191 503-199</w:t>
      </w:r>
      <w:r>
        <w:rPr>
          <w:rFonts w:ascii="Open Sans" w:hAnsi="Open Sans"/>
          <w:color w:val="auto"/>
          <w:sz w:val="20"/>
        </w:rPr>
        <w:br/>
        <w:t>Im Anwänder 24–26</w:t>
      </w:r>
      <w:r>
        <w:rPr>
          <w:rFonts w:ascii="Open Sans" w:hAnsi="Open Sans"/>
          <w:color w:val="auto"/>
          <w:sz w:val="20"/>
        </w:rPr>
        <w:br/>
        <w:t>D-71549 Auenwald</w:t>
      </w:r>
    </w:p>
    <w:p w14:paraId="69865E78" w14:textId="7777777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Germany</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Print free of charge. Voucher copy requested.</w:t>
      </w:r>
    </w:p>
    <w:sectPr w:rsidR="00F840D0" w:rsidRPr="00760571" w:rsidSect="0095339D">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D992" w14:textId="77777777" w:rsidR="00970FC1" w:rsidRDefault="00970FC1" w:rsidP="0095339D">
      <w:pPr>
        <w:spacing w:after="0" w:line="240" w:lineRule="auto"/>
      </w:pPr>
      <w:r>
        <w:separator/>
      </w:r>
    </w:p>
  </w:endnote>
  <w:endnote w:type="continuationSeparator" w:id="0">
    <w:p w14:paraId="059A1AD2" w14:textId="77777777" w:rsidR="00970FC1" w:rsidRDefault="00970FC1"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rPr>
      <w:t xml:space="preserve">Page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6F5210">
      <w:rPr>
        <w:rFonts w:ascii="Verdana" w:hAnsi="Verdana"/>
        <w:sz w:val="14"/>
      </w:rPr>
      <w:t>3</w:t>
    </w:r>
    <w:r w:rsidR="00EE1FB9" w:rsidRPr="006E4D61">
      <w:rPr>
        <w:rFonts w:ascii="Verdana" w:hAnsi="Verdana"/>
        <w:sz w:val="14"/>
      </w:rPr>
      <w:fldChar w:fldCharType="end"/>
    </w:r>
    <w:r>
      <w:rPr>
        <w:rFonts w:ascii="Verdana" w:hAnsi="Verdana"/>
        <w:sz w:val="14"/>
      </w:rPr>
      <w:t xml:space="preserve"> of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6F5210">
      <w:rPr>
        <w:rFonts w:ascii="Verdana" w:hAnsi="Verdana"/>
        <w:sz w:val="14"/>
      </w:rPr>
      <w:t>5</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rPr>
      <w:t xml:space="preserve">Page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6F5210">
      <w:rPr>
        <w:rFonts w:ascii="Verdana" w:hAnsi="Verdana"/>
        <w:sz w:val="14"/>
      </w:rPr>
      <w:t>1</w:t>
    </w:r>
    <w:r w:rsidR="00EE1FB9" w:rsidRPr="00F237E1">
      <w:rPr>
        <w:rFonts w:ascii="Verdana" w:hAnsi="Verdana"/>
        <w:sz w:val="14"/>
      </w:rPr>
      <w:fldChar w:fldCharType="end"/>
    </w:r>
    <w:r>
      <w:rPr>
        <w:rFonts w:ascii="Verdana" w:hAnsi="Verdana"/>
        <w:sz w:val="14"/>
      </w:rPr>
      <w:t xml:space="preserve"> of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6F5210">
      <w:rPr>
        <w:rFonts w:ascii="Verdana" w:hAnsi="Verdana"/>
        <w:sz w:val="14"/>
      </w:rPr>
      <w:t>5</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600D7" w14:textId="77777777" w:rsidR="00970FC1" w:rsidRDefault="00970FC1" w:rsidP="0095339D">
      <w:pPr>
        <w:spacing w:after="0" w:line="240" w:lineRule="auto"/>
      </w:pPr>
      <w:r>
        <w:separator/>
      </w:r>
    </w:p>
  </w:footnote>
  <w:footnote w:type="continuationSeparator" w:id="0">
    <w:p w14:paraId="0B929B91" w14:textId="77777777" w:rsidR="00970FC1" w:rsidRDefault="00970FC1"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8241"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58246"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244"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3"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824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Press Release</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58248"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Pr>
        <w:rFonts w:ascii="Verdana" w:hAnsi="Verdana"/>
        <w:color w:val="000000"/>
        <w:sz w:val="20"/>
      </w:rPr>
      <w:t xml:space="preserve">Auenwald, </w:t>
    </w:r>
    <w:r>
      <w:rPr>
        <w:noProof/>
      </w:rPr>
      <mc:AlternateContent>
        <mc:Choice Requires="wps">
          <w:drawing>
            <wp:anchor distT="0" distB="0" distL="114300" distR="114300" simplePos="0" relativeHeight="251658245"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58247"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2"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36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3D14"/>
    <w:rsid w:val="001B5D58"/>
    <w:rsid w:val="001B701B"/>
    <w:rsid w:val="001C2631"/>
    <w:rsid w:val="001C307F"/>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591"/>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96EF9"/>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346F2"/>
    <w:rsid w:val="00340E59"/>
    <w:rsid w:val="003442FD"/>
    <w:rsid w:val="00344440"/>
    <w:rsid w:val="00345494"/>
    <w:rsid w:val="003463B4"/>
    <w:rsid w:val="0035060B"/>
    <w:rsid w:val="003509B2"/>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2327"/>
    <w:rsid w:val="003E4D31"/>
    <w:rsid w:val="003E5A1C"/>
    <w:rsid w:val="003E5BE7"/>
    <w:rsid w:val="003E71B1"/>
    <w:rsid w:val="003F0FA7"/>
    <w:rsid w:val="003F1801"/>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59EC"/>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3B9B"/>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58B8"/>
    <w:rsid w:val="004A6C68"/>
    <w:rsid w:val="004B1D33"/>
    <w:rsid w:val="004B6E07"/>
    <w:rsid w:val="004B7AEB"/>
    <w:rsid w:val="004C2268"/>
    <w:rsid w:val="004C3C11"/>
    <w:rsid w:val="004C3D67"/>
    <w:rsid w:val="004C6BFC"/>
    <w:rsid w:val="004D08FF"/>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97855"/>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3B5A"/>
    <w:rsid w:val="006340D8"/>
    <w:rsid w:val="0063592B"/>
    <w:rsid w:val="006360A4"/>
    <w:rsid w:val="00636F52"/>
    <w:rsid w:val="00637D94"/>
    <w:rsid w:val="00641868"/>
    <w:rsid w:val="006429B0"/>
    <w:rsid w:val="0064487C"/>
    <w:rsid w:val="00644A15"/>
    <w:rsid w:val="006462B2"/>
    <w:rsid w:val="006548EB"/>
    <w:rsid w:val="00655FE4"/>
    <w:rsid w:val="00661EF2"/>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4150"/>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C38D7"/>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67D9"/>
    <w:rsid w:val="00807177"/>
    <w:rsid w:val="008110EE"/>
    <w:rsid w:val="0081294C"/>
    <w:rsid w:val="008132B3"/>
    <w:rsid w:val="00813373"/>
    <w:rsid w:val="00813EB1"/>
    <w:rsid w:val="00814D1F"/>
    <w:rsid w:val="00814EFE"/>
    <w:rsid w:val="00821C34"/>
    <w:rsid w:val="00825E93"/>
    <w:rsid w:val="008262BD"/>
    <w:rsid w:val="00826AB8"/>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4D2"/>
    <w:rsid w:val="008C16E0"/>
    <w:rsid w:val="008C1FDA"/>
    <w:rsid w:val="008C2F17"/>
    <w:rsid w:val="008C47DB"/>
    <w:rsid w:val="008C59AB"/>
    <w:rsid w:val="008C74C7"/>
    <w:rsid w:val="008C756F"/>
    <w:rsid w:val="008D14F9"/>
    <w:rsid w:val="008D20F9"/>
    <w:rsid w:val="008D2B24"/>
    <w:rsid w:val="008D2DAD"/>
    <w:rsid w:val="008D76C2"/>
    <w:rsid w:val="008E1A20"/>
    <w:rsid w:val="008E39F7"/>
    <w:rsid w:val="008E5422"/>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2319"/>
    <w:rsid w:val="0094283D"/>
    <w:rsid w:val="00945880"/>
    <w:rsid w:val="00947FBF"/>
    <w:rsid w:val="00950195"/>
    <w:rsid w:val="0095339D"/>
    <w:rsid w:val="00955054"/>
    <w:rsid w:val="009577AE"/>
    <w:rsid w:val="00957DFF"/>
    <w:rsid w:val="0096196C"/>
    <w:rsid w:val="0096361D"/>
    <w:rsid w:val="0097057C"/>
    <w:rsid w:val="00970675"/>
    <w:rsid w:val="00970FC1"/>
    <w:rsid w:val="009712BB"/>
    <w:rsid w:val="009720CC"/>
    <w:rsid w:val="0097219B"/>
    <w:rsid w:val="009734BE"/>
    <w:rsid w:val="009740F7"/>
    <w:rsid w:val="00974A7D"/>
    <w:rsid w:val="009812D0"/>
    <w:rsid w:val="009815FF"/>
    <w:rsid w:val="0098166F"/>
    <w:rsid w:val="009824BF"/>
    <w:rsid w:val="009824C6"/>
    <w:rsid w:val="00982B6A"/>
    <w:rsid w:val="009836EA"/>
    <w:rsid w:val="00985482"/>
    <w:rsid w:val="0098587D"/>
    <w:rsid w:val="00985C76"/>
    <w:rsid w:val="009870F1"/>
    <w:rsid w:val="009871E8"/>
    <w:rsid w:val="009876F1"/>
    <w:rsid w:val="0099545D"/>
    <w:rsid w:val="00995D7B"/>
    <w:rsid w:val="009974E9"/>
    <w:rsid w:val="009A061E"/>
    <w:rsid w:val="009A12D4"/>
    <w:rsid w:val="009A46D9"/>
    <w:rsid w:val="009A78A6"/>
    <w:rsid w:val="009A7DA5"/>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B5E"/>
    <w:rsid w:val="009D4F4D"/>
    <w:rsid w:val="009E187D"/>
    <w:rsid w:val="009E3A57"/>
    <w:rsid w:val="009E5262"/>
    <w:rsid w:val="009E5E29"/>
    <w:rsid w:val="009F128C"/>
    <w:rsid w:val="009F23E2"/>
    <w:rsid w:val="009F393B"/>
    <w:rsid w:val="009F46A5"/>
    <w:rsid w:val="009F6700"/>
    <w:rsid w:val="009F7221"/>
    <w:rsid w:val="009F7299"/>
    <w:rsid w:val="00A00FF8"/>
    <w:rsid w:val="00A04655"/>
    <w:rsid w:val="00A06AE6"/>
    <w:rsid w:val="00A10396"/>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31F"/>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55A"/>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49A1"/>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63C67"/>
    <w:rsid w:val="00C72083"/>
    <w:rsid w:val="00C74943"/>
    <w:rsid w:val="00C754F3"/>
    <w:rsid w:val="00C758C9"/>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3D33"/>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5E58"/>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3DE"/>
    <w:rsid w:val="00E4399C"/>
    <w:rsid w:val="00E440B7"/>
    <w:rsid w:val="00E45929"/>
    <w:rsid w:val="00E45C95"/>
    <w:rsid w:val="00E45DBC"/>
    <w:rsid w:val="00E55E8F"/>
    <w:rsid w:val="00E6249C"/>
    <w:rsid w:val="00E624A8"/>
    <w:rsid w:val="00E647E9"/>
    <w:rsid w:val="00E65229"/>
    <w:rsid w:val="00E66367"/>
    <w:rsid w:val="00E6764D"/>
    <w:rsid w:val="00E72F6A"/>
    <w:rsid w:val="00E74971"/>
    <w:rsid w:val="00E74E5D"/>
    <w:rsid w:val="00E75517"/>
    <w:rsid w:val="00E77151"/>
    <w:rsid w:val="00E80847"/>
    <w:rsid w:val="00E81001"/>
    <w:rsid w:val="00E830DF"/>
    <w:rsid w:val="00E84132"/>
    <w:rsid w:val="00E84646"/>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4EE7"/>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54768"/>
    <w:rsid w:val="00F601B1"/>
    <w:rsid w:val="00F6091C"/>
    <w:rsid w:val="00F62482"/>
    <w:rsid w:val="00F6263B"/>
    <w:rsid w:val="00F6569D"/>
    <w:rsid w:val="00F7084F"/>
    <w:rsid w:val="00F71CA7"/>
    <w:rsid w:val="00F72F1F"/>
    <w:rsid w:val="00F734CE"/>
    <w:rsid w:val="00F7450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87d9e0-3315-462b-92d3-7c41dfc451ee" xsi:nil="true"/>
    <lcf76f155ced4ddcb4097134ff3c332f xmlns="ea5ab1d6-a448-46c5-b380-290a506d23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6" ma:contentTypeDescription="Ein neues Dokument erstellen." ma:contentTypeScope="" ma:versionID="b89f7c4326504ad61dd452fb0b71f55a">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fdd07bb97b99409d3287258f3dcdcb81"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D0ED3-52AE-4104-A60F-31A71D224400}">
  <ds:schemaRefs>
    <ds:schemaRef ds:uri="http://schemas.microsoft.com/office/2006/metadata/properties"/>
    <ds:schemaRef ds:uri="http://schemas.microsoft.com/office/infopath/2007/PartnerControls"/>
    <ds:schemaRef ds:uri="f287d9e0-3315-462b-92d3-7c41dfc451ee"/>
    <ds:schemaRef ds:uri="ea5ab1d6-a448-46c5-b380-290a506d236f"/>
  </ds:schemaRefs>
</ds:datastoreItem>
</file>

<file path=customXml/itemProps2.xml><?xml version="1.0" encoding="utf-8"?>
<ds:datastoreItem xmlns:ds="http://schemas.openxmlformats.org/officeDocument/2006/customXml" ds:itemID="{375CD127-57DA-47DC-B3DE-E0ADD8DC1F96}">
  <ds:schemaRefs>
    <ds:schemaRef ds:uri="http://schemas.microsoft.com/sharepoint/v3/contenttype/forms"/>
  </ds:schemaRefs>
</ds:datastoreItem>
</file>

<file path=customXml/itemProps3.xml><?xml version="1.0" encoding="utf-8"?>
<ds:datastoreItem xmlns:ds="http://schemas.openxmlformats.org/officeDocument/2006/customXml" ds:itemID="{337BCF40-92F0-4841-9848-19CE766A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696</Words>
  <Characters>4386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5072</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2025-09-12T06:50:00Z</cp:lastPrinted>
  <dcterms:created xsi:type="dcterms:W3CDTF">2025-09-12T06:59:00Z</dcterms:created>
  <dcterms:modified xsi:type="dcterms:W3CDTF">2025-09-12T06:59:00Z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