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9A7A" w14:textId="72EA4121" w:rsidR="00F852C8" w:rsidRPr="00383375" w:rsidRDefault="0098448F" w:rsidP="00BA4108">
      <w:pPr>
        <w:spacing w:after="240"/>
        <w:ind w:right="-1"/>
        <w:rPr>
          <w:rFonts w:ascii="Proxima Nova Light" w:eastAsiaTheme="minorHAnsi" w:hAnsi="Proxima Nova Light" w:cs="Open Sans"/>
          <w:szCs w:val="18"/>
        </w:rPr>
      </w:pPr>
      <w:r>
        <w:rPr>
          <w:rFonts w:ascii="Proxima Nova Light" w:hAnsi="Proxima Nova Light"/>
          <w:szCs w:val="18"/>
        </w:rPr>
        <w:t xml:space="preserve">Integrazione ideale per il Cobot di saldatura: asse lineare per aggiungere più spazio di lavoro, componenti strutturali lunghi e attività </w:t>
      </w:r>
      <w:r w:rsidR="000C7F5E" w:rsidRPr="001B55E1">
        <w:rPr>
          <w:rFonts w:ascii="Proxima Nova Light" w:hAnsi="Proxima Nova Light"/>
          <w:szCs w:val="18"/>
        </w:rPr>
        <w:t>multiple</w:t>
      </w:r>
      <w:r>
        <w:rPr>
          <w:rFonts w:ascii="Proxima Nova Light" w:hAnsi="Proxima Nova Light"/>
          <w:szCs w:val="18"/>
        </w:rPr>
        <w:t xml:space="preserve"> </w:t>
      </w:r>
    </w:p>
    <w:p w14:paraId="1A1EDF87" w14:textId="33FEE19B" w:rsidR="00F852C8" w:rsidRPr="00383375" w:rsidRDefault="00F852C8" w:rsidP="00BA4108">
      <w:pPr>
        <w:spacing w:after="240" w:line="240" w:lineRule="auto"/>
        <w:ind w:right="-1"/>
        <w:rPr>
          <w:rFonts w:ascii="Proxima Nova" w:eastAsia="Calibri" w:hAnsi="Proxima Nova" w:cs="Open Sans"/>
          <w:sz w:val="32"/>
          <w:szCs w:val="32"/>
        </w:rPr>
      </w:pPr>
      <w:r>
        <w:rPr>
          <w:rFonts w:ascii="Proxima Nova" w:hAnsi="Proxima Nova"/>
          <w:sz w:val="32"/>
          <w:szCs w:val="32"/>
        </w:rPr>
        <w:t xml:space="preserve">Con il nuovo </w:t>
      </w:r>
      <w:proofErr w:type="spellStart"/>
      <w:r>
        <w:rPr>
          <w:rFonts w:ascii="Proxima Nova" w:hAnsi="Proxima Nova"/>
          <w:sz w:val="32"/>
          <w:szCs w:val="32"/>
        </w:rPr>
        <w:t>Cobot</w:t>
      </w:r>
      <w:proofErr w:type="spellEnd"/>
      <w:r>
        <w:rPr>
          <w:rFonts w:ascii="Proxima Nova" w:hAnsi="Proxima Nova"/>
          <w:sz w:val="32"/>
          <w:szCs w:val="32"/>
        </w:rPr>
        <w:t xml:space="preserve"> </w:t>
      </w:r>
      <w:proofErr w:type="spellStart"/>
      <w:r>
        <w:rPr>
          <w:rFonts w:ascii="Proxima Nova" w:hAnsi="Proxima Nova"/>
          <w:sz w:val="32"/>
          <w:szCs w:val="32"/>
        </w:rPr>
        <w:t>Move</w:t>
      </w:r>
      <w:proofErr w:type="spellEnd"/>
      <w:r>
        <w:rPr>
          <w:rFonts w:ascii="Proxima Nova" w:hAnsi="Proxima Nova"/>
          <w:sz w:val="32"/>
          <w:szCs w:val="32"/>
        </w:rPr>
        <w:t xml:space="preserve"> di Lorch potrai eseguire saldature in modo ancora più efficiente e collaborativo </w:t>
      </w:r>
    </w:p>
    <w:p w14:paraId="1EA511E1" w14:textId="3B7D9DA8" w:rsidR="00BA4108" w:rsidRDefault="00216FE2" w:rsidP="00BA4108">
      <w:pPr>
        <w:spacing w:after="240"/>
        <w:ind w:right="-1"/>
        <w:rPr>
          <w:rFonts w:ascii="Open Sans" w:eastAsia="Calibri" w:hAnsi="Open Sans" w:cs="Open Sans"/>
          <w:i/>
          <w:sz w:val="20"/>
          <w:szCs w:val="20"/>
        </w:rPr>
      </w:pPr>
      <w:r>
        <w:rPr>
          <w:rFonts w:ascii="Open Sans" w:hAnsi="Open Sans"/>
          <w:i/>
          <w:iCs/>
          <w:sz w:val="20"/>
          <w:szCs w:val="20"/>
        </w:rPr>
        <w:t xml:space="preserve">Il nuovo asse lineare </w:t>
      </w:r>
      <w:proofErr w:type="spellStart"/>
      <w:r>
        <w:rPr>
          <w:rFonts w:ascii="Open Sans" w:hAnsi="Open Sans"/>
          <w:i/>
          <w:iCs/>
          <w:sz w:val="20"/>
          <w:szCs w:val="20"/>
        </w:rPr>
        <w:t>Cobot</w:t>
      </w:r>
      <w:proofErr w:type="spellEnd"/>
      <w:r>
        <w:rPr>
          <w:rFonts w:ascii="Open Sans" w:hAnsi="Open Sans"/>
          <w:i/>
          <w:iCs/>
          <w:sz w:val="20"/>
          <w:szCs w:val="20"/>
        </w:rPr>
        <w:t xml:space="preserve"> </w:t>
      </w:r>
      <w:proofErr w:type="spellStart"/>
      <w:r>
        <w:rPr>
          <w:rFonts w:ascii="Open Sans" w:hAnsi="Open Sans"/>
          <w:i/>
          <w:iCs/>
          <w:sz w:val="20"/>
          <w:szCs w:val="20"/>
        </w:rPr>
        <w:t>Move</w:t>
      </w:r>
      <w:proofErr w:type="spellEnd"/>
      <w:r>
        <w:rPr>
          <w:rFonts w:ascii="Open Sans" w:hAnsi="Open Sans"/>
          <w:i/>
          <w:iCs/>
          <w:sz w:val="20"/>
          <w:szCs w:val="20"/>
        </w:rPr>
        <w:t xml:space="preserve"> di Lorch Schweisstechnik amplia in modo considerevole le possibili applicazioni </w:t>
      </w:r>
      <w:r w:rsidR="000C7F5E" w:rsidRPr="000C7F5E">
        <w:rPr>
          <w:rFonts w:ascii="Open Sans" w:hAnsi="Open Sans"/>
          <w:i/>
          <w:iCs/>
          <w:sz w:val="20"/>
          <w:szCs w:val="20"/>
        </w:rPr>
        <w:t>già</w:t>
      </w:r>
      <w:r w:rsidR="000C7F5E">
        <w:rPr>
          <w:rFonts w:ascii="Open Sans" w:hAnsi="Open Sans"/>
          <w:i/>
          <w:iCs/>
          <w:sz w:val="20"/>
          <w:szCs w:val="20"/>
        </w:rPr>
        <w:t xml:space="preserve"> </w:t>
      </w:r>
      <w:r>
        <w:rPr>
          <w:rFonts w:ascii="Open Sans" w:hAnsi="Open Sans"/>
          <w:i/>
          <w:iCs/>
          <w:sz w:val="20"/>
          <w:szCs w:val="20"/>
        </w:rPr>
        <w:t xml:space="preserve">sfruttate in precedenza per la saldatura Cobot: </w:t>
      </w:r>
      <w:r>
        <w:rPr>
          <w:rFonts w:ascii="Open Sans" w:hAnsi="Open Sans"/>
          <w:i/>
          <w:sz w:val="20"/>
          <w:szCs w:val="20"/>
        </w:rPr>
        <w:t xml:space="preserve">grazie all'asse di traslazione il raggio operativo del Cobot aumenta di oltre 4,5 metri, in modo da poter </w:t>
      </w:r>
      <w:r w:rsidR="000C7F5E" w:rsidRPr="000C7F5E">
        <w:rPr>
          <w:rFonts w:ascii="Open Sans" w:hAnsi="Open Sans"/>
          <w:i/>
          <w:sz w:val="20"/>
          <w:szCs w:val="20"/>
        </w:rPr>
        <w:t>lavorare su</w:t>
      </w:r>
      <w:r>
        <w:rPr>
          <w:rFonts w:ascii="Open Sans" w:hAnsi="Open Sans"/>
          <w:i/>
          <w:sz w:val="20"/>
          <w:szCs w:val="20"/>
        </w:rPr>
        <w:t xml:space="preserve"> pezzi di dimensioni molto più grandi o eseguire operazioni </w:t>
      </w:r>
      <w:r w:rsidRPr="000C7F5E">
        <w:rPr>
          <w:rFonts w:ascii="Open Sans" w:hAnsi="Open Sans"/>
          <w:i/>
          <w:sz w:val="20"/>
          <w:szCs w:val="20"/>
        </w:rPr>
        <w:t>multi</w:t>
      </w:r>
      <w:r w:rsidR="000C7F5E" w:rsidRPr="000C7F5E">
        <w:rPr>
          <w:rFonts w:ascii="Open Sans" w:hAnsi="Open Sans"/>
          <w:i/>
          <w:sz w:val="20"/>
          <w:szCs w:val="20"/>
        </w:rPr>
        <w:t>ple</w:t>
      </w:r>
      <w:r>
        <w:rPr>
          <w:rFonts w:ascii="Open Sans" w:hAnsi="Open Sans"/>
          <w:i/>
          <w:sz w:val="20"/>
          <w:szCs w:val="20"/>
        </w:rPr>
        <w:t xml:space="preserve"> su un piano di lavoro. Una particolarità importante della soluzione Lorch è che il Cobot può continuare a operare senza involucro di sicurezza e può quindi essere facilmente integrato negli ambienti di lavoro esistenti con il minimo sforzo. </w:t>
      </w:r>
    </w:p>
    <w:p w14:paraId="7B62C2FE" w14:textId="6BA76738" w:rsidR="00BA4108" w:rsidRDefault="00460928" w:rsidP="00BA4108">
      <w:pPr>
        <w:spacing w:after="240"/>
        <w:ind w:right="-1"/>
        <w:rPr>
          <w:rFonts w:ascii="Open Sans" w:eastAsia="Calibri" w:hAnsi="Open Sans" w:cs="Open Sans"/>
          <w:sz w:val="20"/>
        </w:rPr>
      </w:pPr>
      <w:r>
        <w:rPr>
          <w:rFonts w:ascii="Open Sans" w:hAnsi="Open Sans"/>
          <w:sz w:val="20"/>
        </w:rPr>
        <w:t xml:space="preserve">Lorch Schweisstechnik, pioniere e leader di mercato per la saldatura Cobot, amplia la sua gamma con il nuovo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Move</w:t>
      </w:r>
      <w:proofErr w:type="spellEnd"/>
      <w:r>
        <w:rPr>
          <w:rFonts w:ascii="Open Sans" w:hAnsi="Open Sans"/>
          <w:sz w:val="20"/>
        </w:rPr>
        <w:t>. Da oggi, per le aziende diventa più facile eseguire la saldatura automatica di pezzi più grandi o di pezzi multipli di dimensioni più piccole bloccati su un piano di lavoro, aumentando di gran lunga l</w:t>
      </w:r>
      <w:r w:rsidR="000C7F5E">
        <w:rPr>
          <w:rFonts w:ascii="Open Sans" w:hAnsi="Open Sans"/>
          <w:sz w:val="20"/>
        </w:rPr>
        <w:t>’</w:t>
      </w:r>
      <w:r>
        <w:rPr>
          <w:rFonts w:ascii="Open Sans" w:hAnsi="Open Sans"/>
          <w:sz w:val="20"/>
        </w:rPr>
        <w:t>efficienza produttiva. Il cuore della nuova soluzione è un asse lineare con una corsa di 2000 millimetri, che opera con una vite a ricircolo di sfere ad elevata precisione, per consentire una velocità di traslazione da 2 a 160 mm al secondo.  L'asse lineare può essere montato su qualsiasi piano da lavoro</w:t>
      </w:r>
      <w:r w:rsidR="000C7F5E">
        <w:rPr>
          <w:rFonts w:ascii="Open Sans" w:hAnsi="Open Sans"/>
          <w:sz w:val="20"/>
        </w:rPr>
        <w:t xml:space="preserve"> tradizionale</w:t>
      </w:r>
      <w:r>
        <w:rPr>
          <w:rFonts w:ascii="Open Sans" w:hAnsi="Open Sans"/>
          <w:sz w:val="20"/>
        </w:rPr>
        <w:t xml:space="preserve"> per la saldatura </w:t>
      </w:r>
      <w:r w:rsidR="000C7F5E">
        <w:rPr>
          <w:rFonts w:ascii="Open Sans" w:hAnsi="Open Sans"/>
          <w:sz w:val="20"/>
        </w:rPr>
        <w:t>a partire da una</w:t>
      </w:r>
      <w:r>
        <w:rPr>
          <w:rFonts w:ascii="Open Sans" w:hAnsi="Open Sans"/>
          <w:sz w:val="20"/>
        </w:rPr>
        <w:t xml:space="preserve"> lunghezza minima di 2,4 metri. Anche le soluzioni di saldatura Cobot già installate con un Cobot UR 10e sono facilmente </w:t>
      </w:r>
      <w:r w:rsidR="000C7F5E">
        <w:rPr>
          <w:rFonts w:ascii="Open Sans" w:hAnsi="Open Sans"/>
          <w:sz w:val="20"/>
        </w:rPr>
        <w:t>implementabili</w:t>
      </w:r>
      <w:r>
        <w:rPr>
          <w:rFonts w:ascii="Open Sans" w:hAnsi="Open Sans"/>
          <w:sz w:val="20"/>
        </w:rPr>
        <w:t xml:space="preserve"> con l'asse lineare. Il raggio operativo del Cobot viene perciò esteso a oltre 4,5 metri. </w:t>
      </w:r>
    </w:p>
    <w:p w14:paraId="16DF8F20" w14:textId="295CB1DA" w:rsidR="00BA4108" w:rsidRDefault="00BA4108" w:rsidP="00BA4108">
      <w:pPr>
        <w:spacing w:after="240"/>
        <w:ind w:right="-1"/>
        <w:rPr>
          <w:rFonts w:ascii="Open Sans" w:eastAsia="Calibri" w:hAnsi="Open Sans" w:cs="Open Sans"/>
          <w:sz w:val="20"/>
        </w:rPr>
      </w:pPr>
      <w:r>
        <w:rPr>
          <w:rFonts w:ascii="Open Sans" w:hAnsi="Open Sans"/>
          <w:sz w:val="20"/>
        </w:rPr>
        <w:t>Vi sono varie caratteristiche che contribuiscono all'elevata efficacia della soluzione. In questo modo, il Cobot rimane conforme alla norma CE e può essere utilizzato in modo collaborativo. Ciò significa che, a differenza delle soluzioni robotiche comparabili, è possibile l’utilizzo senza tecnologia di sicurezza aggiuntiva come scanner laser o involucro protettivo. Pertanto l'installazione è molto rapida ed è eseguibile in pochi passaggi, ma anche l'integrazione nell'ambiente di produzione esistente è estremamente semplice. Con questa funzione completamente collaborativa, Lorch è al momento l’azienda esclusiva sul mercato.</w:t>
      </w:r>
    </w:p>
    <w:p w14:paraId="1982740D" w14:textId="6DFEC95D" w:rsidR="00BA4108" w:rsidRDefault="00BA4108" w:rsidP="00BA4108">
      <w:pPr>
        <w:spacing w:after="240"/>
        <w:ind w:right="-1"/>
        <w:rPr>
          <w:rFonts w:ascii="Open Sans" w:eastAsia="Calibri" w:hAnsi="Open Sans" w:cs="Open Sans"/>
          <w:sz w:val="20"/>
        </w:rPr>
      </w:pPr>
      <w:bookmarkStart w:id="0" w:name="_Hlk130378404"/>
      <w:r>
        <w:rPr>
          <w:rFonts w:ascii="Open Sans" w:hAnsi="Open Sans"/>
          <w:sz w:val="20"/>
        </w:rPr>
        <w:lastRenderedPageBreak/>
        <w:t xml:space="preserve">Un altro vantaggio che presenta il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Move</w:t>
      </w:r>
      <w:proofErr w:type="spellEnd"/>
      <w:r>
        <w:rPr>
          <w:rFonts w:ascii="Open Sans" w:hAnsi="Open Sans"/>
          <w:sz w:val="20"/>
        </w:rPr>
        <w:t xml:space="preserve"> è che la saldatura può essere eseguita anche quando il Cobot si sposta sull'asse lineare. La posizione del giunto del Cobot rimane identica per tutto il tempo, garantendo così un risultato di qualità uniforme del cordone di saldatura. Anche i componenti strutturali molto lunghi, finora riposizionati nell’ambito di un processo che richiedeva molto tempo, possono ora essere saldati in modo efficiente in un unico pezzo continuo grazie all'ampliamento dell’area di lavor</w:t>
      </w:r>
      <w:r w:rsidR="000C7F5E">
        <w:rPr>
          <w:rFonts w:ascii="Open Sans" w:hAnsi="Open Sans"/>
          <w:sz w:val="20"/>
        </w:rPr>
        <w:t>o</w:t>
      </w:r>
      <w:r>
        <w:rPr>
          <w:rFonts w:ascii="Open Sans" w:hAnsi="Open Sans"/>
          <w:sz w:val="20"/>
        </w:rPr>
        <w:t xml:space="preserve">. </w:t>
      </w:r>
    </w:p>
    <w:bookmarkEnd w:id="0"/>
    <w:p w14:paraId="3CAADDC1" w14:textId="0E453E72" w:rsidR="00BA4108" w:rsidRDefault="00BA4108" w:rsidP="00BA4108">
      <w:pPr>
        <w:spacing w:after="240"/>
        <w:ind w:right="-1"/>
        <w:rPr>
          <w:rFonts w:ascii="Open Sans" w:eastAsia="Calibri" w:hAnsi="Open Sans" w:cs="Open Sans"/>
          <w:sz w:val="20"/>
        </w:rPr>
      </w:pPr>
      <w:r>
        <w:rPr>
          <w:rFonts w:ascii="Open Sans" w:hAnsi="Open Sans"/>
          <w:sz w:val="20"/>
        </w:rPr>
        <w:t xml:space="preserve">L'utilizzo dell'asse lineare offre grandi benefici anche per le cosiddette attività </w:t>
      </w:r>
      <w:r w:rsidR="000C7F5E">
        <w:rPr>
          <w:rFonts w:ascii="Open Sans" w:hAnsi="Open Sans"/>
          <w:sz w:val="20"/>
        </w:rPr>
        <w:t>multiple (nesting)</w:t>
      </w:r>
      <w:r>
        <w:rPr>
          <w:rFonts w:ascii="Open Sans" w:hAnsi="Open Sans"/>
          <w:sz w:val="20"/>
        </w:rPr>
        <w:t>, in cui i pezzi in serie vengono lavorati in sequenza nella modalità a più sedi su un piano di lavoro. Dopo aver appreso</w:t>
      </w:r>
      <w:r w:rsidR="000C7F5E">
        <w:rPr>
          <w:rFonts w:ascii="Open Sans" w:hAnsi="Open Sans"/>
          <w:sz w:val="20"/>
        </w:rPr>
        <w:t xml:space="preserve"> la sequenza di saldatura di</w:t>
      </w:r>
      <w:r>
        <w:rPr>
          <w:rFonts w:ascii="Open Sans" w:hAnsi="Open Sans"/>
          <w:sz w:val="20"/>
        </w:rPr>
        <w:t xml:space="preserve"> un componente, tutti gli altri possono essere saldati spostando semplicemente il Cobot. La posizione di giunzione del Cobot rimane identica per ogni componente e garantisce un cordone di saldatura ottimale. Ciò consente l’aumento dello spazio di lavoro del Cobot e la qualità di ripetizione rimane costante. Tuttavia, l’attività </w:t>
      </w:r>
      <w:r w:rsidR="000C7F5E">
        <w:rPr>
          <w:rFonts w:ascii="Open Sans" w:hAnsi="Open Sans"/>
          <w:sz w:val="20"/>
        </w:rPr>
        <w:t>multipla</w:t>
      </w:r>
      <w:r>
        <w:rPr>
          <w:rFonts w:ascii="Open Sans" w:hAnsi="Open Sans"/>
          <w:sz w:val="20"/>
        </w:rPr>
        <w:t xml:space="preserve"> non solo riduce gli sforzi in termini di programmazione, ma aumenta anche la produttività in maniera significativa: mentre il Cobot sta saldando in una sede, allo stesso tempo è possibile preparare i </w:t>
      </w:r>
      <w:r w:rsidR="00CF14D8">
        <w:rPr>
          <w:rFonts w:ascii="Open Sans" w:hAnsi="Open Sans"/>
          <w:sz w:val="20"/>
        </w:rPr>
        <w:t>pezzi per</w:t>
      </w:r>
      <w:r>
        <w:rPr>
          <w:rFonts w:ascii="Open Sans" w:hAnsi="Open Sans"/>
          <w:sz w:val="20"/>
        </w:rPr>
        <w:t xml:space="preserve"> il processo successivo di saldatura in altre </w:t>
      </w:r>
      <w:r w:rsidR="000C7F5E">
        <w:rPr>
          <w:rFonts w:ascii="Open Sans" w:hAnsi="Open Sans"/>
          <w:sz w:val="20"/>
        </w:rPr>
        <w:t>posizioni</w:t>
      </w:r>
      <w:r>
        <w:rPr>
          <w:rFonts w:ascii="Open Sans" w:hAnsi="Open Sans"/>
          <w:sz w:val="20"/>
        </w:rPr>
        <w:t xml:space="preserve">. </w:t>
      </w:r>
    </w:p>
    <w:p w14:paraId="020A1673" w14:textId="50973E09" w:rsidR="00BA4108" w:rsidRDefault="00E20EE9" w:rsidP="00BA4108">
      <w:pPr>
        <w:spacing w:after="240"/>
        <w:ind w:right="-1"/>
        <w:rPr>
          <w:rFonts w:ascii="Open Sans" w:eastAsia="Calibri" w:hAnsi="Open Sans" w:cs="Open Sans"/>
          <w:sz w:val="20"/>
        </w:rPr>
      </w:pPr>
      <w:r>
        <w:rPr>
          <w:rFonts w:ascii="Open Sans" w:hAnsi="Open Sans"/>
          <w:sz w:val="20"/>
        </w:rPr>
        <w:t>L'</w:t>
      </w:r>
      <w:proofErr w:type="spellStart"/>
      <w:r>
        <w:rPr>
          <w:rFonts w:ascii="Open Sans" w:hAnsi="Open Sans"/>
          <w:sz w:val="20"/>
        </w:rPr>
        <w:t>URCap</w:t>
      </w:r>
      <w:proofErr w:type="spellEnd"/>
      <w:r>
        <w:rPr>
          <w:rFonts w:ascii="Open Sans" w:hAnsi="Open Sans"/>
          <w:sz w:val="20"/>
        </w:rPr>
        <w:t xml:space="preserve"> Lorch Motion, che offre diverse possibilità di controllo, è a disposizione degli utenti per programmare il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Move</w:t>
      </w:r>
      <w:proofErr w:type="spellEnd"/>
      <w:r>
        <w:rPr>
          <w:rFonts w:ascii="Open Sans" w:hAnsi="Open Sans"/>
          <w:sz w:val="20"/>
        </w:rPr>
        <w:t xml:space="preserve">. Proprio come il potente </w:t>
      </w:r>
      <w:proofErr w:type="spellStart"/>
      <w:r>
        <w:rPr>
          <w:rFonts w:ascii="Open Sans" w:hAnsi="Open Sans"/>
          <w:sz w:val="20"/>
        </w:rPr>
        <w:t>Cobotronic</w:t>
      </w:r>
      <w:proofErr w:type="spellEnd"/>
      <w:r>
        <w:rPr>
          <w:rFonts w:ascii="Open Sans" w:hAnsi="Open Sans"/>
          <w:sz w:val="20"/>
        </w:rPr>
        <w:t xml:space="preserve">, adatto per tutte le soluzioni Cobot di Lorch, il software è assolutamente intuitivo. Lo stesso </w:t>
      </w:r>
      <w:proofErr w:type="spellStart"/>
      <w:r>
        <w:rPr>
          <w:rFonts w:ascii="Open Sans" w:hAnsi="Open Sans"/>
          <w:sz w:val="20"/>
        </w:rPr>
        <w:t>Cobotronic</w:t>
      </w:r>
      <w:proofErr w:type="spellEnd"/>
      <w:r>
        <w:rPr>
          <w:rFonts w:ascii="Open Sans" w:hAnsi="Open Sans"/>
          <w:sz w:val="20"/>
        </w:rPr>
        <w:t xml:space="preserve"> offre all'utente numerose funzioni in più che possono essere attivate in modo flessibile a seconda delle necessità, come ad esempio, la funzione </w:t>
      </w:r>
      <w:proofErr w:type="spellStart"/>
      <w:r>
        <w:rPr>
          <w:rFonts w:ascii="Open Sans" w:hAnsi="Open Sans"/>
          <w:sz w:val="20"/>
        </w:rPr>
        <w:t>QuickPoints</w:t>
      </w:r>
      <w:proofErr w:type="spellEnd"/>
      <w:r>
        <w:rPr>
          <w:rFonts w:ascii="Open Sans" w:hAnsi="Open Sans"/>
          <w:sz w:val="20"/>
        </w:rPr>
        <w:t xml:space="preserve">, con cui è possibile programmare in modo agevole dei punti di tracciato e i comandi di saldatura premendo semplicemente un pulsante, o la funzione </w:t>
      </w:r>
      <w:proofErr w:type="spellStart"/>
      <w:r>
        <w:rPr>
          <w:rFonts w:ascii="Open Sans" w:hAnsi="Open Sans"/>
          <w:sz w:val="20"/>
        </w:rPr>
        <w:t>SmartCopy</w:t>
      </w:r>
      <w:proofErr w:type="spellEnd"/>
      <w:r>
        <w:rPr>
          <w:rFonts w:ascii="Open Sans" w:hAnsi="Open Sans"/>
          <w:sz w:val="20"/>
        </w:rPr>
        <w:t xml:space="preserve">, che consente di copiare sequenze di saldatura già programmate su un componente e di trasferirle a parti identiche in altre posizioni dello spazio di lavoro del Cobot. In questo caso, l’innovazione più recente è la correzione automatica del cordone di saldatura </w:t>
      </w:r>
      <w:proofErr w:type="spellStart"/>
      <w:r>
        <w:rPr>
          <w:rFonts w:ascii="Open Sans" w:hAnsi="Open Sans"/>
          <w:sz w:val="20"/>
        </w:rPr>
        <w:t>SeamTracking</w:t>
      </w:r>
      <w:proofErr w:type="spellEnd"/>
      <w:r>
        <w:rPr>
          <w:rFonts w:ascii="Open Sans" w:hAnsi="Open Sans"/>
          <w:sz w:val="20"/>
        </w:rPr>
        <w:t>, con la quale il Cobot segue il corso del cordone di saldatura e garantisce la massima qualità, anche se i pezzi sono leggermente deformati o non rientrano del tutto nella tolleranza.</w:t>
      </w:r>
    </w:p>
    <w:p w14:paraId="29554919" w14:textId="4B63FB73" w:rsidR="00BA4108" w:rsidRDefault="00E20EE9" w:rsidP="00BA4108">
      <w:pPr>
        <w:spacing w:after="240"/>
        <w:ind w:right="-1"/>
        <w:rPr>
          <w:rFonts w:ascii="Open Sans" w:eastAsia="Calibri" w:hAnsi="Open Sans" w:cs="Open Sans"/>
          <w:sz w:val="20"/>
        </w:rPr>
      </w:pPr>
      <w:proofErr w:type="spellStart"/>
      <w:r>
        <w:rPr>
          <w:rFonts w:ascii="Open Sans" w:hAnsi="Open Sans"/>
          <w:sz w:val="20"/>
        </w:rPr>
        <w:t>L’Ing</w:t>
      </w:r>
      <w:proofErr w:type="spellEnd"/>
      <w:r>
        <w:rPr>
          <w:rFonts w:ascii="Open Sans" w:hAnsi="Open Sans"/>
          <w:sz w:val="20"/>
        </w:rPr>
        <w:t xml:space="preserve">. Dott. Caren Dripke, responsabile del reparto sviluppo robotico di Lorch </w:t>
      </w:r>
      <w:proofErr w:type="spellStart"/>
      <w:r>
        <w:rPr>
          <w:rFonts w:ascii="Open Sans" w:hAnsi="Open Sans"/>
          <w:sz w:val="20"/>
        </w:rPr>
        <w:t>Schweißtechnik</w:t>
      </w:r>
      <w:proofErr w:type="spellEnd"/>
      <w:r>
        <w:rPr>
          <w:rFonts w:ascii="Open Sans" w:hAnsi="Open Sans"/>
          <w:sz w:val="20"/>
        </w:rPr>
        <w:t xml:space="preserve"> ha dichiarato: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Move</w:t>
      </w:r>
      <w:proofErr w:type="spellEnd"/>
      <w:r>
        <w:rPr>
          <w:rFonts w:ascii="Open Sans" w:hAnsi="Open Sans"/>
          <w:sz w:val="20"/>
        </w:rPr>
        <w:t xml:space="preserve"> è l’integrazione perfetta per il nostro Cobot di saldatura. L'asse lineare aggiuntivo non solo offre uno spazio di lavoro significativamente più ampio, ma rende anche possibile la saldatura automatizzata di pezzi più lunghi e più grandi, aumentando di gran lunga la produzione di pezzi in serie. Grazie al sofisticato design dell'asse, il sistema può continuare a operare in modo collaborativo. Vale a dire che il sistema mantiene la consueta flessibilità e piena accessibilità senza dover scendere a compromessi in termini di sicurezza. Questa soluzione al momento è esclusiva sul mercato.”</w:t>
      </w:r>
    </w:p>
    <w:p w14:paraId="3070B4A0" w14:textId="77777777" w:rsidR="00C852E1" w:rsidRDefault="00C852E1" w:rsidP="00147BB7">
      <w:pPr>
        <w:spacing w:after="240"/>
        <w:ind w:right="-1"/>
        <w:rPr>
          <w:rFonts w:ascii="Verdana" w:hAnsi="Verdana"/>
          <w:i/>
          <w:sz w:val="20"/>
          <w:szCs w:val="20"/>
        </w:rPr>
      </w:pPr>
    </w:p>
    <w:p w14:paraId="309B324F" w14:textId="2DBA1CF4" w:rsidR="00951CDC" w:rsidRPr="00147BB7" w:rsidRDefault="00951CDC" w:rsidP="00147BB7">
      <w:pPr>
        <w:spacing w:after="240"/>
        <w:ind w:right="-1"/>
        <w:rPr>
          <w:rFonts w:ascii="Open Sans" w:eastAsia="Calibri" w:hAnsi="Open Sans" w:cs="Open Sans"/>
          <w:sz w:val="20"/>
        </w:rPr>
      </w:pPr>
      <w:r>
        <w:rPr>
          <w:rFonts w:ascii="Verdana" w:hAnsi="Verdana"/>
          <w:i/>
          <w:sz w:val="20"/>
          <w:szCs w:val="20"/>
        </w:rPr>
        <w:t xml:space="preserve">Lorch </w:t>
      </w:r>
      <w:proofErr w:type="spellStart"/>
      <w:r>
        <w:rPr>
          <w:rFonts w:ascii="Verdana" w:hAnsi="Verdana"/>
          <w:i/>
          <w:sz w:val="20"/>
          <w:szCs w:val="20"/>
        </w:rPr>
        <w:t>Schweißtechnik</w:t>
      </w:r>
      <w:proofErr w:type="spellEnd"/>
      <w:r>
        <w:rPr>
          <w:rFonts w:ascii="Verdana" w:hAnsi="Verdana"/>
          <w:i/>
          <w:sz w:val="20"/>
          <w:szCs w:val="20"/>
        </w:rPr>
        <w:t xml:space="preserve"> GmbH è un produttore leader degli impianti di saldatura ad arco elettrico per le applicazioni industriali, il complesso settore metalmeccanico e l'utilizzo nell'automazione con robot e sistemi robotizzati collaborativi. Anche i sistemi di </w:t>
      </w:r>
      <w:r w:rsidR="00494CCC">
        <w:rPr>
          <w:rFonts w:ascii="Verdana" w:hAnsi="Verdana"/>
          <w:i/>
          <w:sz w:val="20"/>
          <w:szCs w:val="20"/>
        </w:rPr>
        <w:t>caschi (APR900)</w:t>
      </w:r>
      <w:r>
        <w:rPr>
          <w:rFonts w:ascii="Verdana" w:hAnsi="Verdana"/>
          <w:i/>
          <w:sz w:val="20"/>
          <w:szCs w:val="20"/>
        </w:rPr>
        <w:t xml:space="preserve"> e torc</w:t>
      </w:r>
      <w:r w:rsidR="00494CCC">
        <w:rPr>
          <w:rFonts w:ascii="Verdana" w:hAnsi="Verdana"/>
          <w:i/>
          <w:sz w:val="20"/>
          <w:szCs w:val="20"/>
        </w:rPr>
        <w:t>e (LMS-LMR) per saldatura</w:t>
      </w:r>
      <w:r>
        <w:rPr>
          <w:rFonts w:ascii="Verdana" w:hAnsi="Verdana"/>
          <w:i/>
          <w:sz w:val="20"/>
          <w:szCs w:val="20"/>
        </w:rPr>
        <w:t xml:space="preserve"> sviluppati internamente garantiscono risultati ottimali. Gli impianti di qualità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676B8472" w14:textId="453EC34D" w:rsidR="00537C46" w:rsidRDefault="00ED7245" w:rsidP="00537C46">
      <w:r>
        <w:rPr>
          <w:noProof/>
        </w:rPr>
        <w:drawing>
          <wp:anchor distT="0" distB="0" distL="114300" distR="114300" simplePos="0" relativeHeight="251660288" behindDoc="0" locked="0" layoutInCell="1" allowOverlap="0" wp14:anchorId="6591A896" wp14:editId="4BCF5FA4">
            <wp:simplePos x="0" y="0"/>
            <wp:positionH relativeFrom="column">
              <wp:posOffset>16510</wp:posOffset>
            </wp:positionH>
            <wp:positionV relativeFrom="paragraph">
              <wp:posOffset>439420</wp:posOffset>
            </wp:positionV>
            <wp:extent cx="4345200" cy="2894400"/>
            <wp:effectExtent l="0" t="0" r="0" b="1270"/>
            <wp:wrapTopAndBottom/>
            <wp:docPr id="13" name="Grafik 13" descr="Ein Bild, das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5200" cy="2894400"/>
                    </a:xfrm>
                    <a:prstGeom prst="rect">
                      <a:avLst/>
                    </a:prstGeom>
                  </pic:spPr>
                </pic:pic>
              </a:graphicData>
            </a:graphic>
            <wp14:sizeRelH relativeFrom="margin">
              <wp14:pctWidth>0</wp14:pctWidth>
            </wp14:sizeRelH>
            <wp14:sizeRelV relativeFrom="margin">
              <wp14:pctHeight>0</wp14:pctHeight>
            </wp14:sizeRelV>
          </wp:anchor>
        </w:drawing>
      </w:r>
    </w:p>
    <w:p w14:paraId="47C8333C" w14:textId="6696E0E6" w:rsidR="00ED7245" w:rsidRDefault="00ED7245" w:rsidP="00ED7245"/>
    <w:p w14:paraId="78DF8E44" w14:textId="769FDEC3" w:rsidR="00ED7245" w:rsidRDefault="00ED7245" w:rsidP="00ED7245">
      <w:r>
        <w:t xml:space="preserve">Fig. 1: Vantaggi del </w:t>
      </w:r>
      <w:proofErr w:type="spellStart"/>
      <w:r>
        <w:t>Cobot</w:t>
      </w:r>
      <w:proofErr w:type="spellEnd"/>
      <w:r>
        <w:t xml:space="preserve"> </w:t>
      </w:r>
      <w:proofErr w:type="spellStart"/>
      <w:r>
        <w:t>Move</w:t>
      </w:r>
      <w:proofErr w:type="spellEnd"/>
      <w:r>
        <w:t xml:space="preserve">: spostando il </w:t>
      </w:r>
      <w:proofErr w:type="spellStart"/>
      <w:r>
        <w:t>Cobot</w:t>
      </w:r>
      <w:proofErr w:type="spellEnd"/>
      <w:r>
        <w:t xml:space="preserve"> lungo l'asse lineare, è possibile saldare sia elementi ripetuti che componenti lunghi nell'area operativa ingrandita. </w:t>
      </w:r>
    </w:p>
    <w:p w14:paraId="22C507AC" w14:textId="0AB4FAF4" w:rsidR="00537C46" w:rsidRDefault="00537C46" w:rsidP="00537C46"/>
    <w:p w14:paraId="49B52982" w14:textId="23543039" w:rsidR="00537C46" w:rsidRDefault="00ED7245" w:rsidP="00537C46">
      <w:r>
        <w:rPr>
          <w:noProof/>
        </w:rPr>
        <w:drawing>
          <wp:anchor distT="0" distB="0" distL="114300" distR="114300" simplePos="0" relativeHeight="251661312" behindDoc="0" locked="0" layoutInCell="1" allowOverlap="1" wp14:anchorId="7CFA1192" wp14:editId="5092954D">
            <wp:simplePos x="0" y="0"/>
            <wp:positionH relativeFrom="column">
              <wp:posOffset>0</wp:posOffset>
            </wp:positionH>
            <wp:positionV relativeFrom="paragraph">
              <wp:posOffset>203835</wp:posOffset>
            </wp:positionV>
            <wp:extent cx="4147200" cy="2329200"/>
            <wp:effectExtent l="0" t="0" r="5715" b="0"/>
            <wp:wrapTopAndBottom/>
            <wp:docPr id="14" name="Grafik 14" descr="Ein Bild, das Im Haus, Decke,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Im Haus, Decke, Toilett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200" cy="2329200"/>
                    </a:xfrm>
                    <a:prstGeom prst="rect">
                      <a:avLst/>
                    </a:prstGeom>
                  </pic:spPr>
                </pic:pic>
              </a:graphicData>
            </a:graphic>
            <wp14:sizeRelH relativeFrom="margin">
              <wp14:pctWidth>0</wp14:pctWidth>
            </wp14:sizeRelH>
            <wp14:sizeRelV relativeFrom="margin">
              <wp14:pctHeight>0</wp14:pctHeight>
            </wp14:sizeRelV>
          </wp:anchor>
        </w:drawing>
      </w:r>
    </w:p>
    <w:p w14:paraId="7175A33D" w14:textId="00DD5783" w:rsidR="009F6548" w:rsidRDefault="009F6548" w:rsidP="00537C46"/>
    <w:p w14:paraId="1F48423A" w14:textId="6E97326C" w:rsidR="00ED7245" w:rsidRDefault="00ED7245" w:rsidP="00ED7245">
      <w:r>
        <w:t>Fig. 2: Nessuna necessità di altre tecnologie di sicurezza: grazie al design dell'asse ben congegnato, il Cobot di saldatura può continuare a essere utilizzato in modo collaborativo. Il sistema rimane flessibile e liberamente accessibile.</w:t>
      </w:r>
    </w:p>
    <w:p w14:paraId="7D14BA9E" w14:textId="7AFDE170" w:rsidR="00ED7245" w:rsidRDefault="00ED7245" w:rsidP="00537C46">
      <w:r>
        <w:rPr>
          <w:noProof/>
        </w:rPr>
        <w:drawing>
          <wp:anchor distT="0" distB="0" distL="114300" distR="114300" simplePos="0" relativeHeight="251659264" behindDoc="0" locked="0" layoutInCell="1" allowOverlap="1" wp14:anchorId="209AEF78" wp14:editId="0A4888E0">
            <wp:simplePos x="0" y="0"/>
            <wp:positionH relativeFrom="column">
              <wp:posOffset>16510</wp:posOffset>
            </wp:positionH>
            <wp:positionV relativeFrom="paragraph">
              <wp:posOffset>282151</wp:posOffset>
            </wp:positionV>
            <wp:extent cx="4024800" cy="2682000"/>
            <wp:effectExtent l="0" t="0" r="1270" b="0"/>
            <wp:wrapTopAndBottom/>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4800" cy="2682000"/>
                    </a:xfrm>
                    <a:prstGeom prst="rect">
                      <a:avLst/>
                    </a:prstGeom>
                  </pic:spPr>
                </pic:pic>
              </a:graphicData>
            </a:graphic>
            <wp14:sizeRelH relativeFrom="margin">
              <wp14:pctWidth>0</wp14:pctWidth>
            </wp14:sizeRelH>
            <wp14:sizeRelV relativeFrom="margin">
              <wp14:pctHeight>0</wp14:pctHeight>
            </wp14:sizeRelV>
          </wp:anchor>
        </w:drawing>
      </w:r>
    </w:p>
    <w:p w14:paraId="46B915F7" w14:textId="03809B2F" w:rsidR="009F6548" w:rsidRDefault="009F6548" w:rsidP="00537C46"/>
    <w:p w14:paraId="3C9CB62F" w14:textId="20E5B1D1" w:rsidR="00ED7245" w:rsidRDefault="00ED7245" w:rsidP="00ED7245">
      <w:r>
        <w:t xml:space="preserve">Fig. 3: Integrazione completa. </w:t>
      </w:r>
      <w:proofErr w:type="spellStart"/>
      <w:r>
        <w:t>Cobot</w:t>
      </w:r>
      <w:proofErr w:type="spellEnd"/>
      <w:r>
        <w:t xml:space="preserve"> </w:t>
      </w:r>
      <w:proofErr w:type="spellStart"/>
      <w:r>
        <w:t>Move</w:t>
      </w:r>
      <w:proofErr w:type="spellEnd"/>
      <w:r>
        <w:t xml:space="preserve"> può essere controllato e programmato con facilità tramite Lorch Motion </w:t>
      </w:r>
      <w:proofErr w:type="spellStart"/>
      <w:r>
        <w:t>URCap</w:t>
      </w:r>
      <w:proofErr w:type="spellEnd"/>
      <w:r>
        <w:t>.</w:t>
      </w:r>
    </w:p>
    <w:p w14:paraId="380BEDCB" w14:textId="323EE1B3" w:rsidR="009F6548" w:rsidRDefault="009F6548" w:rsidP="00537C46"/>
    <w:p w14:paraId="058CB368" w14:textId="2E0F5462" w:rsidR="009F6548" w:rsidRDefault="009F6548" w:rsidP="00537C46"/>
    <w:p w14:paraId="6D7FC06B" w14:textId="59004903" w:rsidR="009F6548" w:rsidRDefault="009F6548" w:rsidP="00537C46"/>
    <w:p w14:paraId="498A99FF" w14:textId="3301E1D8" w:rsidR="009F6548" w:rsidRDefault="00DE3F82" w:rsidP="00537C46">
      <w:r>
        <w:rPr>
          <w:noProof/>
        </w:rPr>
        <w:drawing>
          <wp:inline distT="0" distB="0" distL="0" distR="0" wp14:anchorId="25547EEC" wp14:editId="2C63DF1F">
            <wp:extent cx="3968115" cy="223182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6393" cy="2236476"/>
                    </a:xfrm>
                    <a:prstGeom prst="rect">
                      <a:avLst/>
                    </a:prstGeom>
                  </pic:spPr>
                </pic:pic>
              </a:graphicData>
            </a:graphic>
          </wp:inline>
        </w:drawing>
      </w:r>
    </w:p>
    <w:p w14:paraId="1AF44703" w14:textId="77777777" w:rsidR="00537C46" w:rsidRDefault="00537C46" w:rsidP="00537C46">
      <w:r>
        <w:t>Fig. 4: con l'utilizzo del nuovo asse lineare, il raggio operativo del Cobot di saldatura viene portato a 4,5 metri. Ciò aumenta di gran lunga la capacità produttiva.</w:t>
      </w:r>
    </w:p>
    <w:p w14:paraId="2854EDD2" w14:textId="77777777" w:rsidR="00537C46" w:rsidRDefault="00537C46" w:rsidP="00537C46"/>
    <w:p w14:paraId="5D345FD0" w14:textId="77777777" w:rsidR="00537C46" w:rsidRDefault="00537C46" w:rsidP="00537C46">
      <w:r>
        <w:rPr>
          <w:noProof/>
        </w:rPr>
        <w:drawing>
          <wp:inline distT="0" distB="0" distL="0" distR="0" wp14:anchorId="0D029BF5" wp14:editId="3825B6C8">
            <wp:extent cx="3968668" cy="26212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091" cy="2626183"/>
                    </a:xfrm>
                    <a:prstGeom prst="rect">
                      <a:avLst/>
                    </a:prstGeom>
                  </pic:spPr>
                </pic:pic>
              </a:graphicData>
            </a:graphic>
          </wp:inline>
        </w:drawing>
      </w:r>
    </w:p>
    <w:p w14:paraId="3D4C9630" w14:textId="20A38E16" w:rsidR="00537C46" w:rsidRDefault="00537C46" w:rsidP="00537C46">
      <w:r>
        <w:t xml:space="preserve">Fig. 5: Lavorazione efficiente delle parti in serie: Mentre il Cobot sta saldando in una </w:t>
      </w:r>
      <w:proofErr w:type="gramStart"/>
      <w:r w:rsidR="00494CCC">
        <w:t xml:space="preserve">zona </w:t>
      </w:r>
      <w:r>
        <w:t>,</w:t>
      </w:r>
      <w:proofErr w:type="gramEnd"/>
      <w:r>
        <w:t xml:space="preserve"> allo stesso tempo è possibile preparare altri pezzi per il processo successivo di saldatura in altre </w:t>
      </w:r>
      <w:r w:rsidR="00CE1DC5">
        <w:t>parti del tavolo</w:t>
      </w:r>
      <w:r>
        <w:t>.</w:t>
      </w:r>
    </w:p>
    <w:p w14:paraId="03D7BA86" w14:textId="061B47F4" w:rsidR="00A54DDE" w:rsidRDefault="00A54DDE" w:rsidP="00537C46"/>
    <w:p w14:paraId="5FA401A1" w14:textId="60AD1D1C" w:rsidR="00A54DDE" w:rsidRDefault="00A54DDE" w:rsidP="00537C46">
      <w:r>
        <w:rPr>
          <w:noProof/>
        </w:rPr>
        <w:drawing>
          <wp:inline distT="0" distB="0" distL="0" distR="0" wp14:anchorId="6C4292B0" wp14:editId="7B10FBD2">
            <wp:extent cx="3163401" cy="2108835"/>
            <wp:effectExtent l="0" t="635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171725" cy="2114384"/>
                    </a:xfrm>
                    <a:prstGeom prst="rect">
                      <a:avLst/>
                    </a:prstGeom>
                  </pic:spPr>
                </pic:pic>
              </a:graphicData>
            </a:graphic>
          </wp:inline>
        </w:drawing>
      </w:r>
    </w:p>
    <w:p w14:paraId="3E2A914B" w14:textId="092D32B2" w:rsidR="00537C46" w:rsidRDefault="00A54DDE" w:rsidP="00537C46">
      <w:r>
        <w:t xml:space="preserve">Fig. 6: La caratteristica più innovativa del software </w:t>
      </w:r>
      <w:proofErr w:type="spellStart"/>
      <w:r>
        <w:t>Cobotronic</w:t>
      </w:r>
      <w:proofErr w:type="spellEnd"/>
      <w:r>
        <w:t xml:space="preserve"> è </w:t>
      </w:r>
      <w:proofErr w:type="spellStart"/>
      <w:r>
        <w:t>SeamTracking</w:t>
      </w:r>
      <w:proofErr w:type="spellEnd"/>
      <w:r>
        <w:t>, ovvero, la correzione automatica</w:t>
      </w:r>
      <w:r w:rsidR="00CE1DC5">
        <w:t xml:space="preserve"> continua</w:t>
      </w:r>
      <w:r>
        <w:t xml:space="preserve"> del cordone di saldatura, con cui il Cobot garantisce la massima qualità di saldatura anche se il pezzo è deformato.</w:t>
      </w:r>
    </w:p>
    <w:p w14:paraId="25725A91" w14:textId="77777777" w:rsidR="00B34116" w:rsidRPr="00BC26CA" w:rsidRDefault="00B34116" w:rsidP="00857A7E">
      <w:pPr>
        <w:ind w:right="-1"/>
        <w:rPr>
          <w:rFonts w:ascii="Open Sans" w:hAnsi="Open Sans" w:cs="Open Sans"/>
          <w:b/>
          <w:sz w:val="20"/>
          <w:szCs w:val="20"/>
        </w:rPr>
      </w:pPr>
    </w:p>
    <w:p w14:paraId="124415D2" w14:textId="5291A4DA" w:rsidR="007C6924" w:rsidRPr="00C1041A" w:rsidRDefault="007C6924" w:rsidP="00857A7E">
      <w:pPr>
        <w:ind w:right="-1"/>
        <w:rPr>
          <w:rFonts w:ascii="Open Sans" w:hAnsi="Open Sans" w:cs="Open Sans"/>
          <w:b/>
          <w:sz w:val="20"/>
          <w:szCs w:val="20"/>
          <w:lang w:val="de-DE"/>
        </w:rPr>
      </w:pPr>
      <w:proofErr w:type="spellStart"/>
      <w:r w:rsidRPr="00C1041A">
        <w:rPr>
          <w:rFonts w:ascii="Open Sans" w:hAnsi="Open Sans"/>
          <w:b/>
          <w:sz w:val="20"/>
          <w:szCs w:val="20"/>
          <w:lang w:val="de-DE"/>
        </w:rPr>
        <w:t>Contatto</w:t>
      </w:r>
      <w:proofErr w:type="spellEnd"/>
      <w:r w:rsidRPr="00C1041A">
        <w:rPr>
          <w:rFonts w:ascii="Open Sans" w:hAnsi="Open Sans"/>
          <w:b/>
          <w:sz w:val="20"/>
          <w:szCs w:val="20"/>
          <w:lang w:val="de-DE"/>
        </w:rPr>
        <w:t xml:space="preserve"> </w:t>
      </w:r>
      <w:proofErr w:type="spellStart"/>
      <w:r w:rsidRPr="00C1041A">
        <w:rPr>
          <w:rFonts w:ascii="Open Sans" w:hAnsi="Open Sans"/>
          <w:b/>
          <w:sz w:val="20"/>
          <w:szCs w:val="20"/>
          <w:lang w:val="de-DE"/>
        </w:rPr>
        <w:t>stampa</w:t>
      </w:r>
      <w:proofErr w:type="spellEnd"/>
      <w:r w:rsidRPr="00C1041A">
        <w:rPr>
          <w:rFonts w:ascii="Open Sans" w:hAnsi="Open Sans"/>
          <w:b/>
          <w:sz w:val="20"/>
          <w:szCs w:val="20"/>
          <w:lang w:val="de-DE"/>
        </w:rPr>
        <w:t xml:space="preserve"> </w:t>
      </w:r>
    </w:p>
    <w:p w14:paraId="5905C5B8" w14:textId="15E575B4" w:rsidR="007C6924" w:rsidRPr="00C1041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1041A">
        <w:rPr>
          <w:rFonts w:ascii="Open Sans" w:hAnsi="Open Sans"/>
          <w:color w:val="auto"/>
          <w:sz w:val="20"/>
          <w:lang w:val="de-DE"/>
        </w:rPr>
        <w:t>Lorch Schweißtechnik GmbH</w:t>
      </w:r>
      <w:r w:rsidRPr="00C1041A">
        <w:rPr>
          <w:rFonts w:ascii="Open Sans" w:hAnsi="Open Sans"/>
          <w:color w:val="auto"/>
          <w:sz w:val="20"/>
          <w:lang w:val="de-DE"/>
        </w:rPr>
        <w:cr/>
        <w:t xml:space="preserve">Lisa Michler </w:t>
      </w:r>
      <w:r w:rsidRPr="00C1041A">
        <w:rPr>
          <w:rFonts w:ascii="Open Sans" w:hAnsi="Open Sans"/>
          <w:color w:val="auto"/>
          <w:sz w:val="20"/>
          <w:lang w:val="de-DE"/>
        </w:rPr>
        <w:cr/>
        <w:t xml:space="preserve">Im </w:t>
      </w:r>
      <w:proofErr w:type="spellStart"/>
      <w:r w:rsidRPr="00C1041A">
        <w:rPr>
          <w:rFonts w:ascii="Open Sans" w:hAnsi="Open Sans"/>
          <w:color w:val="auto"/>
          <w:sz w:val="20"/>
          <w:lang w:val="de-DE"/>
        </w:rPr>
        <w:t>Anwänder</w:t>
      </w:r>
      <w:proofErr w:type="spellEnd"/>
      <w:r w:rsidRPr="00C1041A">
        <w:rPr>
          <w:rFonts w:ascii="Open Sans" w:hAnsi="Open Sans"/>
          <w:color w:val="auto"/>
          <w:sz w:val="20"/>
          <w:lang w:val="de-DE"/>
        </w:rPr>
        <w:t xml:space="preserve"> 24-26</w:t>
      </w:r>
      <w:r w:rsidRPr="00C1041A">
        <w:rPr>
          <w:rFonts w:ascii="Open Sans" w:hAnsi="Open Sans"/>
          <w:color w:val="auto"/>
          <w:sz w:val="20"/>
          <w:lang w:val="de-DE"/>
        </w:rPr>
        <w:cr/>
        <w:t>71549 Auenwald</w:t>
      </w:r>
    </w:p>
    <w:p w14:paraId="1FF0250B" w14:textId="7935A435" w:rsidR="007C6924" w:rsidRPr="000C7F5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C7F5E">
        <w:rPr>
          <w:rFonts w:ascii="Open Sans" w:hAnsi="Open Sans"/>
          <w:color w:val="auto"/>
          <w:sz w:val="20"/>
        </w:rPr>
        <w:t>Germany / Germania</w:t>
      </w:r>
      <w:r w:rsidRPr="000C7F5E">
        <w:rPr>
          <w:rFonts w:ascii="Open Sans" w:hAnsi="Open Sans"/>
          <w:color w:val="auto"/>
          <w:sz w:val="20"/>
        </w:rPr>
        <w:br/>
      </w:r>
    </w:p>
    <w:p w14:paraId="5AC9E85E" w14:textId="05E8C150" w:rsidR="007C6924" w:rsidRPr="000C7F5E"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E56B55" w:rsidRPr="000C7F5E">
          <w:rPr>
            <w:rStyle w:val="Hyperlink"/>
            <w:rFonts w:ascii="Open Sans" w:hAnsi="Open Sans"/>
            <w:color w:val="auto"/>
            <w:sz w:val="20"/>
          </w:rPr>
          <w:t>presse@lorch.eu</w:t>
        </w:r>
      </w:hyperlink>
    </w:p>
    <w:p w14:paraId="5736E1E2" w14:textId="5F7CBADC" w:rsidR="00511E32" w:rsidRPr="000C7F5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0C7F5E">
        <w:rPr>
          <w:rFonts w:ascii="Open Sans" w:hAnsi="Open Sans"/>
          <w:color w:val="auto"/>
          <w:sz w:val="20"/>
        </w:rPr>
        <w:t>Tel.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La ristampa è consentita senza vincoli. È richiesta una copia giustificativa.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C6F96" w14:textId="77777777" w:rsidR="00301336" w:rsidRDefault="00301336" w:rsidP="0081148E">
      <w:pPr>
        <w:spacing w:after="0" w:line="240" w:lineRule="auto"/>
      </w:pPr>
      <w:r>
        <w:separator/>
      </w:r>
    </w:p>
  </w:endnote>
  <w:endnote w:type="continuationSeparator" w:id="0">
    <w:p w14:paraId="112220A8" w14:textId="77777777" w:rsidR="00301336" w:rsidRDefault="00301336"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szCs w:val="14"/>
              </w:rPr>
              <w:t xml:space="preserve">Pagina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sz w:val="14"/>
                <w:szCs w:val="14"/>
              </w:rPr>
              <w:t>1</w:t>
            </w:r>
            <w:r w:rsidRPr="009B0E69">
              <w:rPr>
                <w:rFonts w:ascii="Verdana" w:hAnsi="Verdana"/>
                <w:sz w:val="14"/>
                <w:szCs w:val="14"/>
              </w:rPr>
              <w:fldChar w:fldCharType="end"/>
            </w:r>
            <w:r>
              <w:rPr>
                <w:rFonts w:ascii="Verdana" w:hAnsi="Verdana"/>
                <w:sz w:val="14"/>
                <w:szCs w:val="14"/>
              </w:rPr>
              <w:t xml:space="preserve"> di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szCs w:val="14"/>
              </w:rPr>
              <w:t xml:space="preserve">Pagina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sz w:val="14"/>
                <w:szCs w:val="14"/>
              </w:rPr>
              <w:t>1</w:t>
            </w:r>
            <w:r w:rsidRPr="009B0E69">
              <w:rPr>
                <w:rFonts w:ascii="Verdana" w:hAnsi="Verdana"/>
                <w:b/>
                <w:sz w:val="14"/>
                <w:szCs w:val="14"/>
              </w:rPr>
              <w:fldChar w:fldCharType="end"/>
            </w:r>
            <w:r>
              <w:rPr>
                <w:rFonts w:ascii="Verdana" w:hAnsi="Verdana"/>
                <w:sz w:val="14"/>
                <w:szCs w:val="14"/>
              </w:rPr>
              <w:t xml:space="preserve"> di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BC74C" w14:textId="77777777" w:rsidR="00301336" w:rsidRDefault="00301336" w:rsidP="0081148E">
      <w:pPr>
        <w:spacing w:after="0" w:line="240" w:lineRule="auto"/>
      </w:pPr>
      <w:r>
        <w:separator/>
      </w:r>
    </w:p>
  </w:footnote>
  <w:footnote w:type="continuationSeparator" w:id="0">
    <w:p w14:paraId="091CCE99" w14:textId="77777777" w:rsidR="00301336" w:rsidRDefault="00301336"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szCs w:val="32"/>
      </w:rPr>
      <w:t>Comunicato stampa</w:t>
    </w:r>
    <w:r>
      <w:rPr>
        <w:rFonts w:ascii="Proxima Nova" w:hAnsi="Proxima Nova"/>
        <w:color w:val="000000"/>
        <w:sz w:val="32"/>
        <w:szCs w:val="32"/>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p>
  <w:p w14:paraId="423C22B6" w14:textId="637EF6F1"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szCs w:val="20"/>
      </w:rPr>
      <w:t>Auenwald</w:t>
    </w:r>
    <w:proofErr w:type="spellEnd"/>
    <w:r>
      <w:rPr>
        <w:rFonts w:ascii="Open Sans" w:hAnsi="Open Sans"/>
        <w:color w:val="000000"/>
        <w:sz w:val="20"/>
        <w:szCs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5B70D0">
      <w:rPr>
        <w:rFonts w:ascii="Open Sans" w:hAnsi="Open Sans"/>
        <w:color w:val="000000"/>
        <w:sz w:val="20"/>
        <w:szCs w:val="20"/>
      </w:rPr>
      <w:t>05</w:t>
    </w:r>
    <w:r>
      <w:rPr>
        <w:rFonts w:ascii="Open Sans" w:hAnsi="Open Sans"/>
        <w:color w:val="000000"/>
        <w:sz w:val="20"/>
        <w:szCs w:val="20"/>
      </w:rPr>
      <w:t>/0</w:t>
    </w:r>
    <w:r w:rsidR="005B70D0">
      <w:rPr>
        <w:rFonts w:ascii="Open Sans" w:hAnsi="Open Sans"/>
        <w:color w:val="000000"/>
        <w:sz w:val="20"/>
        <w:szCs w:val="20"/>
      </w:rPr>
      <w:t>4</w:t>
    </w:r>
    <w:r>
      <w:rPr>
        <w:rFonts w:ascii="Open Sans" w:hAnsi="Open Sans"/>
        <w:color w:val="000000"/>
        <w:sz w:val="20"/>
        <w:szCs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t>Comunicato stampa</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C7F5E"/>
    <w:rsid w:val="000D02CC"/>
    <w:rsid w:val="000D2B65"/>
    <w:rsid w:val="000D2E04"/>
    <w:rsid w:val="000E0084"/>
    <w:rsid w:val="000E4494"/>
    <w:rsid w:val="000E77E3"/>
    <w:rsid w:val="000F4E8A"/>
    <w:rsid w:val="000F5839"/>
    <w:rsid w:val="000F586B"/>
    <w:rsid w:val="000F7C92"/>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47BB7"/>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55E1"/>
    <w:rsid w:val="001B67B5"/>
    <w:rsid w:val="001B76B5"/>
    <w:rsid w:val="001C0077"/>
    <w:rsid w:val="001C40CE"/>
    <w:rsid w:val="001C5375"/>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4725"/>
    <w:rsid w:val="00246673"/>
    <w:rsid w:val="00247605"/>
    <w:rsid w:val="00250831"/>
    <w:rsid w:val="00253BF5"/>
    <w:rsid w:val="0025429A"/>
    <w:rsid w:val="0026129F"/>
    <w:rsid w:val="002628DF"/>
    <w:rsid w:val="00265414"/>
    <w:rsid w:val="00265D24"/>
    <w:rsid w:val="002706DB"/>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081A"/>
    <w:rsid w:val="00301336"/>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B07"/>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4EC6"/>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2497"/>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928"/>
    <w:rsid w:val="00460A7B"/>
    <w:rsid w:val="00462F5C"/>
    <w:rsid w:val="00463281"/>
    <w:rsid w:val="004665B4"/>
    <w:rsid w:val="0046697F"/>
    <w:rsid w:val="004675EC"/>
    <w:rsid w:val="004725AB"/>
    <w:rsid w:val="0047539A"/>
    <w:rsid w:val="004767CC"/>
    <w:rsid w:val="00482CEE"/>
    <w:rsid w:val="004856E8"/>
    <w:rsid w:val="00485953"/>
    <w:rsid w:val="00487540"/>
    <w:rsid w:val="00491001"/>
    <w:rsid w:val="00491667"/>
    <w:rsid w:val="00494CCC"/>
    <w:rsid w:val="004A24ED"/>
    <w:rsid w:val="004A35C2"/>
    <w:rsid w:val="004A634C"/>
    <w:rsid w:val="004A7064"/>
    <w:rsid w:val="004A76D3"/>
    <w:rsid w:val="004B11BE"/>
    <w:rsid w:val="004B22E0"/>
    <w:rsid w:val="004B3A0E"/>
    <w:rsid w:val="004B3E21"/>
    <w:rsid w:val="004B7D6A"/>
    <w:rsid w:val="004C2AD7"/>
    <w:rsid w:val="004C5878"/>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37C46"/>
    <w:rsid w:val="0054055E"/>
    <w:rsid w:val="005409DE"/>
    <w:rsid w:val="00542731"/>
    <w:rsid w:val="00542944"/>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0D0"/>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232A"/>
    <w:rsid w:val="005F3A7D"/>
    <w:rsid w:val="005F51E6"/>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08F1"/>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80F29"/>
    <w:rsid w:val="007826CC"/>
    <w:rsid w:val="00782C5D"/>
    <w:rsid w:val="00783FD7"/>
    <w:rsid w:val="0078614C"/>
    <w:rsid w:val="00790347"/>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30EE"/>
    <w:rsid w:val="00801FA9"/>
    <w:rsid w:val="00802164"/>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F0A34"/>
    <w:rsid w:val="008F4CF0"/>
    <w:rsid w:val="008F579C"/>
    <w:rsid w:val="0090311C"/>
    <w:rsid w:val="009046BD"/>
    <w:rsid w:val="00904EA3"/>
    <w:rsid w:val="00906A9E"/>
    <w:rsid w:val="009257E1"/>
    <w:rsid w:val="00931380"/>
    <w:rsid w:val="00933094"/>
    <w:rsid w:val="00934CF2"/>
    <w:rsid w:val="00940C39"/>
    <w:rsid w:val="009426C8"/>
    <w:rsid w:val="0095138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14E8"/>
    <w:rsid w:val="00991E53"/>
    <w:rsid w:val="009925C4"/>
    <w:rsid w:val="00992D99"/>
    <w:rsid w:val="009946C3"/>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54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54DDE"/>
    <w:rsid w:val="00A60CBC"/>
    <w:rsid w:val="00A623E8"/>
    <w:rsid w:val="00A62573"/>
    <w:rsid w:val="00A65266"/>
    <w:rsid w:val="00A675EF"/>
    <w:rsid w:val="00A70D4A"/>
    <w:rsid w:val="00A71A7C"/>
    <w:rsid w:val="00A73794"/>
    <w:rsid w:val="00A7431F"/>
    <w:rsid w:val="00A7778A"/>
    <w:rsid w:val="00A807C2"/>
    <w:rsid w:val="00A8505F"/>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F3168"/>
    <w:rsid w:val="00BF58C4"/>
    <w:rsid w:val="00C04F03"/>
    <w:rsid w:val="00C05A61"/>
    <w:rsid w:val="00C062BB"/>
    <w:rsid w:val="00C07355"/>
    <w:rsid w:val="00C101A6"/>
    <w:rsid w:val="00C1041A"/>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098D"/>
    <w:rsid w:val="00C61A0D"/>
    <w:rsid w:val="00C62A10"/>
    <w:rsid w:val="00C633BC"/>
    <w:rsid w:val="00C7003A"/>
    <w:rsid w:val="00C77293"/>
    <w:rsid w:val="00C852E1"/>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1DC5"/>
    <w:rsid w:val="00CE219D"/>
    <w:rsid w:val="00CE5B8C"/>
    <w:rsid w:val="00CF14D8"/>
    <w:rsid w:val="00CF2761"/>
    <w:rsid w:val="00CF5699"/>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3A07"/>
    <w:rsid w:val="00D44546"/>
    <w:rsid w:val="00D5610D"/>
    <w:rsid w:val="00D6070D"/>
    <w:rsid w:val="00D62454"/>
    <w:rsid w:val="00D63167"/>
    <w:rsid w:val="00D6321F"/>
    <w:rsid w:val="00D63498"/>
    <w:rsid w:val="00D64407"/>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85"/>
    <w:rsid w:val="00D97DC6"/>
    <w:rsid w:val="00DB2F90"/>
    <w:rsid w:val="00DC050B"/>
    <w:rsid w:val="00DC1192"/>
    <w:rsid w:val="00DC11D8"/>
    <w:rsid w:val="00DC6F84"/>
    <w:rsid w:val="00DC7B01"/>
    <w:rsid w:val="00DD66B6"/>
    <w:rsid w:val="00DE3B1C"/>
    <w:rsid w:val="00DE3F82"/>
    <w:rsid w:val="00DE518E"/>
    <w:rsid w:val="00DF10DF"/>
    <w:rsid w:val="00E01AC0"/>
    <w:rsid w:val="00E11B05"/>
    <w:rsid w:val="00E13043"/>
    <w:rsid w:val="00E146B4"/>
    <w:rsid w:val="00E20EE9"/>
    <w:rsid w:val="00E24E01"/>
    <w:rsid w:val="00E25E91"/>
    <w:rsid w:val="00E265B4"/>
    <w:rsid w:val="00E27777"/>
    <w:rsid w:val="00E31A3A"/>
    <w:rsid w:val="00E32B27"/>
    <w:rsid w:val="00E37C15"/>
    <w:rsid w:val="00E4077B"/>
    <w:rsid w:val="00E53DEF"/>
    <w:rsid w:val="00E56B55"/>
    <w:rsid w:val="00E60181"/>
    <w:rsid w:val="00E63E32"/>
    <w:rsid w:val="00E76A96"/>
    <w:rsid w:val="00E8055D"/>
    <w:rsid w:val="00E812C8"/>
    <w:rsid w:val="00E8296A"/>
    <w:rsid w:val="00E82EDB"/>
    <w:rsid w:val="00E851F2"/>
    <w:rsid w:val="00E857F5"/>
    <w:rsid w:val="00E87EBA"/>
    <w:rsid w:val="00EA2796"/>
    <w:rsid w:val="00EB2F35"/>
    <w:rsid w:val="00EB33EC"/>
    <w:rsid w:val="00EB4A6C"/>
    <w:rsid w:val="00EB557A"/>
    <w:rsid w:val="00EC14C3"/>
    <w:rsid w:val="00EC5A68"/>
    <w:rsid w:val="00ED013A"/>
    <w:rsid w:val="00ED5222"/>
    <w:rsid w:val="00ED7245"/>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6EE2"/>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52C8"/>
    <w:rsid w:val="00F87108"/>
    <w:rsid w:val="00F91B80"/>
    <w:rsid w:val="00FA2BAE"/>
    <w:rsid w:val="00FB5CE0"/>
    <w:rsid w:val="00FB6092"/>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F733994B-8B02-42B2-BE02-0E7F2F136ED2}">
  <ds:schemaRefs>
    <ds:schemaRef ds:uri="http://schemas.microsoft.com/sharepoint/v3/contenttype/forms"/>
  </ds:schemaRefs>
</ds:datastoreItem>
</file>

<file path=customXml/itemProps3.xml><?xml version="1.0" encoding="utf-8"?>
<ds:datastoreItem xmlns:ds="http://schemas.openxmlformats.org/officeDocument/2006/customXml" ds:itemID="{CFDEF363-1C2D-48E7-ABE9-9AAF6F304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1048</Words>
  <Characters>6606</Characters>
  <Application>Microsoft Office Word</Application>
  <DocSecurity>0</DocSecurity>
  <Lines>55</Lines>
  <Paragraphs>15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2023-04-05T10:56:00Z</dcterms:created>
  <dcterms:modified xsi:type="dcterms:W3CDTF">2023-04-05T10:56:00Z</dcterms:modified>
</cp:coreProperties>
</file>