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6E09A8" w14:textId="2C3C82F4" w:rsidR="004C7BB5" w:rsidRPr="008E5D51" w:rsidRDefault="004C7BB5" w:rsidP="008E5D51">
      <w:pPr>
        <w:spacing w:after="240"/>
        <w:ind w:right="-1"/>
        <w:rPr>
          <w:rFonts w:ascii="Proxima Nova Light" w:eastAsiaTheme="minorHAnsi" w:hAnsi="Proxima Nova Light" w:cs="Open Sans"/>
          <w:szCs w:val="18"/>
        </w:rPr>
      </w:pPr>
      <w:r>
        <w:rPr>
          <w:rFonts w:ascii="Proxima Nova Light" w:hAnsi="Proxima Nova Light"/>
        </w:rPr>
        <w:t xml:space="preserve">La torcia </w:t>
      </w:r>
      <w:r w:rsidR="003D25BB">
        <w:rPr>
          <w:rFonts w:ascii="Proxima Nova Light" w:hAnsi="Proxima Nova Light"/>
        </w:rPr>
        <w:t>ad alta p</w:t>
      </w:r>
      <w:r>
        <w:rPr>
          <w:rFonts w:ascii="Proxima Nova Light" w:hAnsi="Proxima Nova Light"/>
        </w:rPr>
        <w:t>erformance MIG–MAG per l'industria del futuro</w:t>
      </w:r>
    </w:p>
    <w:p w14:paraId="66E77462" w14:textId="36BAC190" w:rsidR="008E5D51" w:rsidRPr="008E5D51" w:rsidRDefault="008E5D51" w:rsidP="008E5D51">
      <w:pPr>
        <w:spacing w:after="240" w:line="240" w:lineRule="auto"/>
        <w:ind w:right="-1"/>
        <w:rPr>
          <w:rFonts w:ascii="Proxima Nova" w:eastAsia="Calibri" w:hAnsi="Proxima Nova" w:cs="Open Sans"/>
          <w:sz w:val="32"/>
          <w:szCs w:val="32"/>
        </w:rPr>
      </w:pPr>
      <w:r>
        <w:rPr>
          <w:rFonts w:ascii="Proxima Nova" w:hAnsi="Proxima Nova"/>
          <w:sz w:val="32"/>
        </w:rPr>
        <w:t>Saldature d'eccellenza grazie alle nuove torce LMS di Lorch</w:t>
      </w:r>
    </w:p>
    <w:p w14:paraId="4425CA76" w14:textId="0EA26083" w:rsidR="008E5D51" w:rsidRPr="008E5D51" w:rsidRDefault="008E5D51" w:rsidP="008E5D51">
      <w:pPr>
        <w:spacing w:after="240"/>
        <w:ind w:right="-1"/>
        <w:rPr>
          <w:rFonts w:ascii="Open Sans" w:eastAsia="Calibri" w:hAnsi="Open Sans" w:cs="Open Sans"/>
          <w:i/>
          <w:sz w:val="20"/>
          <w:szCs w:val="20"/>
        </w:rPr>
      </w:pPr>
      <w:r>
        <w:rPr>
          <w:rFonts w:ascii="Open Sans" w:hAnsi="Open Sans"/>
          <w:i/>
          <w:sz w:val="20"/>
        </w:rPr>
        <w:t xml:space="preserve">In futuro, una torcia dalle forme ergonomiche all'avanguardia e dotata di numerose innovazioni tecniche consentirà agli operatori di </w:t>
      </w:r>
      <w:r w:rsidR="003D25BB">
        <w:rPr>
          <w:rFonts w:ascii="Open Sans" w:hAnsi="Open Sans"/>
          <w:i/>
          <w:sz w:val="20"/>
        </w:rPr>
        <w:t>eseguire</w:t>
      </w:r>
      <w:r>
        <w:rPr>
          <w:rFonts w:ascii="Open Sans" w:hAnsi="Open Sans"/>
          <w:i/>
          <w:sz w:val="20"/>
        </w:rPr>
        <w:t xml:space="preserve"> saldatur</w:t>
      </w:r>
      <w:r w:rsidR="003D25BB">
        <w:rPr>
          <w:rFonts w:ascii="Open Sans" w:hAnsi="Open Sans"/>
          <w:i/>
          <w:sz w:val="20"/>
        </w:rPr>
        <w:t>e</w:t>
      </w:r>
      <w:r>
        <w:rPr>
          <w:rFonts w:ascii="Open Sans" w:hAnsi="Open Sans"/>
          <w:i/>
          <w:sz w:val="20"/>
        </w:rPr>
        <w:t xml:space="preserve"> d'eccellenza. Le nuove torce di Lorch sono state sviluppate senza scendere a compromessi per aumentare la produttività e risparmiare risorse. </w:t>
      </w:r>
    </w:p>
    <w:p w14:paraId="1D08DEBC" w14:textId="2490DA20" w:rsidR="008E5D51" w:rsidRPr="008E5D51" w:rsidRDefault="008E5D51" w:rsidP="008E5D51">
      <w:pPr>
        <w:spacing w:after="240"/>
        <w:ind w:right="-1"/>
        <w:rPr>
          <w:rFonts w:ascii="Open Sans" w:eastAsia="Calibri" w:hAnsi="Open Sans" w:cs="Open Sans"/>
          <w:sz w:val="20"/>
        </w:rPr>
      </w:pPr>
      <w:r>
        <w:rPr>
          <w:rFonts w:ascii="Open Sans" w:hAnsi="Open Sans"/>
          <w:sz w:val="20"/>
        </w:rPr>
        <w:t>"Progettazione per il futuro della saldatura": è questa la massima con cui Lorch Schweißtechnik presenta la nuova famiglia di torce LMS per la saldatura MIG-MAG in occasione dell'edizione 2022 di Euroblech. Per consentire agli operatori di saldare in modo più semplice e senza affaticarsi, questa torcia è il frutto di uno sviluppo completamente nuovo in termini di ergonomia in modo da adattarsi alla perfezione alla mano del saldatore. È bilanciata in modo ottimale, d</w:t>
      </w:r>
      <w:r w:rsidR="003D25BB">
        <w:rPr>
          <w:rFonts w:ascii="Open Sans" w:hAnsi="Open Sans"/>
          <w:sz w:val="20"/>
        </w:rPr>
        <w:t>otata</w:t>
      </w:r>
      <w:r>
        <w:rPr>
          <w:rFonts w:ascii="Open Sans" w:hAnsi="Open Sans"/>
          <w:sz w:val="20"/>
        </w:rPr>
        <w:t xml:space="preserve"> di un'impugnatura sottile ed ergonomica e di una presa perfetta grazie alle tipiche </w:t>
      </w:r>
      <w:r w:rsidR="003D25BB">
        <w:rPr>
          <w:rFonts w:ascii="Open Sans" w:hAnsi="Open Sans"/>
          <w:sz w:val="20"/>
        </w:rPr>
        <w:t>impugnature</w:t>
      </w:r>
      <w:r>
        <w:rPr>
          <w:rFonts w:ascii="Open Sans" w:hAnsi="Open Sans"/>
          <w:sz w:val="20"/>
        </w:rPr>
        <w:t xml:space="preserve"> di Lorch e alle aree morbide bicomponente nel rivestimento dell'impugnatura </w:t>
      </w:r>
      <w:r w:rsidR="003D25BB">
        <w:rPr>
          <w:rFonts w:ascii="Open Sans" w:hAnsi="Open Sans"/>
          <w:sz w:val="20"/>
        </w:rPr>
        <w:t>stessa</w:t>
      </w:r>
      <w:r>
        <w:rPr>
          <w:rFonts w:ascii="Open Sans" w:hAnsi="Open Sans"/>
          <w:sz w:val="20"/>
        </w:rPr>
        <w:t>. Il suo design si presenta particolarmente l</w:t>
      </w:r>
      <w:r w:rsidR="003D25BB">
        <w:rPr>
          <w:rFonts w:ascii="Open Sans" w:hAnsi="Open Sans"/>
          <w:sz w:val="20"/>
        </w:rPr>
        <w:t>iscio</w:t>
      </w:r>
      <w:r>
        <w:rPr>
          <w:rFonts w:ascii="Open Sans" w:hAnsi="Open Sans"/>
          <w:sz w:val="20"/>
        </w:rPr>
        <w:t xml:space="preserve"> e si rivela una caratteristica importante, ad esempio, per i movimenti pendolari con la torcia contribuendo a garantire anche la massima ergonomia, proprio allo stesso modo del giunto sferico multiplo. In questo modo, si assicura un'efficace protezione da pieghe offrendo tuttavia la completa mobilità del cavo d</w:t>
      </w:r>
      <w:r w:rsidR="003D25BB">
        <w:rPr>
          <w:rFonts w:ascii="Open Sans" w:hAnsi="Open Sans"/>
          <w:sz w:val="20"/>
        </w:rPr>
        <w:t>ella torcia</w:t>
      </w:r>
      <w:r>
        <w:rPr>
          <w:rFonts w:ascii="Open Sans" w:hAnsi="Open Sans"/>
          <w:sz w:val="20"/>
        </w:rPr>
        <w:t xml:space="preserve"> in tutte le direzioni. Grazie a queste proprietà garantisce una manipolazione con sollecitazioni ridottissime per i saldatori, sia nelle posizioni normali che in quelle forzate.</w:t>
      </w:r>
    </w:p>
    <w:p w14:paraId="59645BBF" w14:textId="5EE7941C" w:rsidR="008E5D51" w:rsidRPr="008E5D51" w:rsidRDefault="005B4C0D" w:rsidP="008E5D51">
      <w:pPr>
        <w:spacing w:after="240"/>
        <w:ind w:right="-1"/>
        <w:rPr>
          <w:rFonts w:ascii="Open Sans" w:eastAsia="Calibri" w:hAnsi="Open Sans" w:cs="Open Sans"/>
          <w:sz w:val="20"/>
        </w:rPr>
      </w:pPr>
      <w:r>
        <w:rPr>
          <w:rFonts w:ascii="Open Sans" w:hAnsi="Open Sans"/>
          <w:sz w:val="20"/>
        </w:rPr>
        <w:t xml:space="preserve">LMS deve il suo soprannome di "torcia </w:t>
      </w:r>
      <w:r w:rsidR="003D25BB">
        <w:rPr>
          <w:rFonts w:ascii="Open Sans" w:hAnsi="Open Sans"/>
          <w:sz w:val="20"/>
        </w:rPr>
        <w:t xml:space="preserve">ad alta </w:t>
      </w:r>
      <w:r>
        <w:rPr>
          <w:rFonts w:ascii="Open Sans" w:hAnsi="Open Sans"/>
          <w:sz w:val="20"/>
        </w:rPr>
        <w:t xml:space="preserve">performance" a una serie di innovazioni. Ad esempio, la speciale guida del gas inerte (in attesa di brevetto) consente un ulteriore raffreddamento dell'ugello portacorrente ed un flusso del gas ottimale nell'area d'uscita. La realizzazione costante delle connessioni rame </w:t>
      </w:r>
      <w:r w:rsidR="003D25BB">
        <w:rPr>
          <w:rFonts w:ascii="Open Sans" w:hAnsi="Open Sans"/>
          <w:sz w:val="20"/>
        </w:rPr>
        <w:t>su</w:t>
      </w:r>
      <w:r>
        <w:rPr>
          <w:rFonts w:ascii="Open Sans" w:hAnsi="Open Sans"/>
          <w:sz w:val="20"/>
        </w:rPr>
        <w:t xml:space="preserve"> rame e il raffreddamento ad elevata efficienza</w:t>
      </w:r>
      <w:r w:rsidR="003D25BB">
        <w:rPr>
          <w:rFonts w:ascii="Open Sans" w:hAnsi="Open Sans"/>
          <w:sz w:val="20"/>
        </w:rPr>
        <w:t>,</w:t>
      </w:r>
      <w:r>
        <w:rPr>
          <w:rFonts w:ascii="Open Sans" w:hAnsi="Open Sans"/>
          <w:sz w:val="20"/>
        </w:rPr>
        <w:t xml:space="preserve"> determinano una resistenza </w:t>
      </w:r>
      <w:r w:rsidR="003D25BB">
        <w:rPr>
          <w:rFonts w:ascii="Open Sans" w:hAnsi="Open Sans"/>
          <w:sz w:val="20"/>
        </w:rPr>
        <w:t xml:space="preserve">elettrica </w:t>
      </w:r>
      <w:r>
        <w:rPr>
          <w:rFonts w:ascii="Open Sans" w:hAnsi="Open Sans"/>
          <w:sz w:val="20"/>
        </w:rPr>
        <w:t>del cavo significativamente ridotta nella torcia e una minore usura dovuta alle sollecitazioni termiche. Il design coordinato tra l'ugello portacorrente e il profilo interno dell'ugello gas produce un flusso laminare e garantisce una perfetta copertura del gas</w:t>
      </w:r>
      <w:r w:rsidR="003D25BB">
        <w:rPr>
          <w:rFonts w:ascii="Open Sans" w:hAnsi="Open Sans"/>
          <w:sz w:val="20"/>
        </w:rPr>
        <w:t>,</w:t>
      </w:r>
      <w:r>
        <w:rPr>
          <w:rFonts w:ascii="Open Sans" w:hAnsi="Open Sans"/>
          <w:sz w:val="20"/>
        </w:rPr>
        <w:t xml:space="preserve"> che si rivela vantaggiosa soprattutto per la saldatura dell'alluminio. Gli ugelli portacorrente ritratti sul mandrino contrastano la formazione di microarchi</w:t>
      </w:r>
      <w:r w:rsidR="003D25BB">
        <w:rPr>
          <w:rFonts w:ascii="Open Sans" w:hAnsi="Open Sans"/>
          <w:sz w:val="20"/>
        </w:rPr>
        <w:t xml:space="preserve">l </w:t>
      </w:r>
      <w:r>
        <w:rPr>
          <w:rFonts w:ascii="Open Sans" w:hAnsi="Open Sans"/>
          <w:sz w:val="20"/>
        </w:rPr>
        <w:lastRenderedPageBreak/>
        <w:t>elettrici all'interno del</w:t>
      </w:r>
      <w:r w:rsidR="003D25BB">
        <w:rPr>
          <w:rFonts w:ascii="Open Sans" w:hAnsi="Open Sans"/>
          <w:sz w:val="20"/>
        </w:rPr>
        <w:t>l</w:t>
      </w:r>
      <w:r w:rsidR="00DF3D04">
        <w:rPr>
          <w:rFonts w:ascii="Open Sans" w:hAnsi="Open Sans"/>
          <w:sz w:val="20"/>
        </w:rPr>
        <w:t>’ugello portacorrente</w:t>
      </w:r>
      <w:r>
        <w:rPr>
          <w:rFonts w:ascii="Open Sans" w:hAnsi="Open Sans"/>
          <w:sz w:val="20"/>
        </w:rPr>
        <w:t>. Inoltre, la struttura speciale degli ugelli portacorrente assicura un effetto raddrizzatore del filo e un passaggio ottimale della corrente verso il filo</w:t>
      </w:r>
      <w:r w:rsidR="00DF3D04">
        <w:rPr>
          <w:rFonts w:ascii="Open Sans" w:hAnsi="Open Sans"/>
          <w:sz w:val="20"/>
        </w:rPr>
        <w:t xml:space="preserve"> stesso</w:t>
      </w:r>
      <w:r>
        <w:rPr>
          <w:rFonts w:ascii="Open Sans" w:hAnsi="Open Sans"/>
          <w:sz w:val="20"/>
        </w:rPr>
        <w:t xml:space="preserve">.  </w:t>
      </w:r>
    </w:p>
    <w:p w14:paraId="3A171D89" w14:textId="779C33D0" w:rsidR="00AE0C2A" w:rsidRPr="008E5D51" w:rsidRDefault="008E5D51" w:rsidP="008E5D51">
      <w:pPr>
        <w:spacing w:after="240"/>
        <w:ind w:right="-1"/>
        <w:rPr>
          <w:rFonts w:ascii="Open Sans" w:eastAsia="Calibri" w:hAnsi="Open Sans" w:cs="Open Sans"/>
          <w:sz w:val="20"/>
        </w:rPr>
      </w:pPr>
      <w:r>
        <w:rPr>
          <w:rFonts w:ascii="Open Sans" w:hAnsi="Open Sans"/>
          <w:sz w:val="20"/>
        </w:rPr>
        <w:t xml:space="preserve">Grazie alle numerose innovazioni si ottiene un arco elettrico estremamente stabile e silenzioso durante la saldatura e un apporto del materiale sensibilmente migliorato. Con questa soluzione si riducono le interruzioni indesiderate della saldatura aumentando in modo significativo la produttività degli operatori. La perfetta copertura del gas e il passaggio della corrente ottimale determinano considerevoli vantaggi, proprio nel campo della saldatura di acciaio inox e alluminio: le opacizzazioni dell'acciaio inox si riducono al minimo e si contengono i fumi con l'alluminio. In generale, i cordoni di saldatura significativamente più </w:t>
      </w:r>
      <w:r w:rsidR="000516E5">
        <w:rPr>
          <w:rFonts w:ascii="Open Sans" w:hAnsi="Open Sans"/>
          <w:sz w:val="20"/>
        </w:rPr>
        <w:t>puliti</w:t>
      </w:r>
      <w:r>
        <w:rPr>
          <w:rFonts w:ascii="Open Sans" w:hAnsi="Open Sans"/>
          <w:sz w:val="20"/>
        </w:rPr>
        <w:t xml:space="preserve"> richiedono meno rifiniture portando ad una riduzione dei costi di produzione. Altri due aspetti vanno a completare a livello tecnico questa gamma di torce LMS: da un lato la loro progettazione consente di eseguire facili interventi di riparazione e dall'altro lato l'alimentazione separata del gas inerte attraverso la torcia è caratterizzata da bassi consumi. Tutte queste proprietà contribuiscono ad una maggiore sostenibilità della saldatura insieme ad un minor consumo dei componenti soggetti ad usura.</w:t>
      </w:r>
    </w:p>
    <w:p w14:paraId="5362E6F4" w14:textId="16799262" w:rsidR="008E5D51" w:rsidRPr="008E5D51" w:rsidRDefault="008E5D51" w:rsidP="008E5D51">
      <w:pPr>
        <w:spacing w:after="240"/>
        <w:ind w:right="-1"/>
        <w:rPr>
          <w:rFonts w:ascii="Open Sans" w:eastAsia="Calibri" w:hAnsi="Open Sans" w:cs="Open Sans"/>
          <w:sz w:val="20"/>
        </w:rPr>
      </w:pPr>
      <w:r>
        <w:rPr>
          <w:rFonts w:ascii="Open Sans" w:hAnsi="Open Sans"/>
          <w:sz w:val="20"/>
        </w:rPr>
        <w:t>In occasione di Euroblech, Lorch presenta le nuove torce in due versioni: la variante standard e la versione Powermaster con display e pulsanti per la gestione a distanza dell'impianto di saldatura Lorch direttamente dal</w:t>
      </w:r>
      <w:r w:rsidR="000516E5">
        <w:rPr>
          <w:rFonts w:ascii="Open Sans" w:hAnsi="Open Sans"/>
          <w:sz w:val="20"/>
        </w:rPr>
        <w:t>l’impugnatura della</w:t>
      </w:r>
      <w:r>
        <w:rPr>
          <w:rFonts w:ascii="Open Sans" w:hAnsi="Open Sans"/>
          <w:sz w:val="20"/>
        </w:rPr>
        <w:t xml:space="preserve"> torcia. Le torce LMS sono progettate in modo ottimale per la saldatura </w:t>
      </w:r>
      <w:r w:rsidR="000516E5">
        <w:rPr>
          <w:rFonts w:ascii="Open Sans" w:hAnsi="Open Sans"/>
          <w:sz w:val="20"/>
        </w:rPr>
        <w:t>pulsata</w:t>
      </w:r>
      <w:r>
        <w:rPr>
          <w:rFonts w:ascii="Open Sans" w:hAnsi="Open Sans"/>
          <w:sz w:val="20"/>
        </w:rPr>
        <w:t>, ed in particolare per le serie Lorch S e MicorMIG Pulse, e sono dotate del</w:t>
      </w:r>
      <w:r w:rsidR="000516E5">
        <w:rPr>
          <w:rFonts w:ascii="Open Sans" w:hAnsi="Open Sans"/>
          <w:sz w:val="20"/>
        </w:rPr>
        <w:t>l’attacco centralizzato</w:t>
      </w:r>
      <w:r>
        <w:rPr>
          <w:rFonts w:ascii="Open Sans" w:hAnsi="Open Sans"/>
          <w:sz w:val="20"/>
        </w:rPr>
        <w:t xml:space="preserve"> europeo. In questo modo, è anche possibile eseguire alla perfezione i processi Lorch da tutti gli impianti MIG-MAG Lorch presenti. Entrambe le varianti sono disponibili con le consuete lunghezze dei cavi di tre, quattro e cinque metri e con raffreddamento a gas e ad acqua per diversi amperaggi compresi tra 250 e 500 ampere. </w:t>
      </w:r>
    </w:p>
    <w:p w14:paraId="6C344AF6" w14:textId="5D916670" w:rsidR="008E5D51" w:rsidRDefault="008E5D51" w:rsidP="008E5D51">
      <w:pPr>
        <w:spacing w:after="240"/>
        <w:ind w:right="-1"/>
        <w:rPr>
          <w:rFonts w:ascii="Open Sans" w:eastAsia="Calibri" w:hAnsi="Open Sans" w:cs="Open Sans"/>
          <w:sz w:val="20"/>
        </w:rPr>
      </w:pPr>
      <w:r>
        <w:rPr>
          <w:rFonts w:ascii="Open Sans" w:hAnsi="Open Sans"/>
          <w:sz w:val="20"/>
        </w:rPr>
        <w:t>Andreas Rimböck,</w:t>
      </w:r>
      <w:r w:rsidR="000516E5">
        <w:rPr>
          <w:rFonts w:ascii="Open Sans" w:hAnsi="Open Sans"/>
          <w:sz w:val="20"/>
        </w:rPr>
        <w:t xml:space="preserve"> Product Manager per le </w:t>
      </w:r>
      <w:r>
        <w:rPr>
          <w:rFonts w:ascii="Open Sans" w:hAnsi="Open Sans"/>
          <w:sz w:val="20"/>
        </w:rPr>
        <w:t xml:space="preserve">torce presso Lorch, ha dichiarato: "Le nostre torce MIG-MAG sono progettate a livello interno e sono un componente nuovo ed importante della gamma di Lorch. Grazie alla loro raffinata ergonomia, si adattano alla perfezione alle mani e rendono la saldatura molto più rilassata. In perfetta sinergia con la saldatrice di Lorch, i numerosi affinamenti tecnici assicurano sia le massime prestazioni in saldatura che un'usura ridotta permettendo un risparmio in </w:t>
      </w:r>
      <w:r>
        <w:rPr>
          <w:rFonts w:ascii="Open Sans" w:hAnsi="Open Sans"/>
          <w:sz w:val="20"/>
        </w:rPr>
        <w:lastRenderedPageBreak/>
        <w:t>termini di risorse importanti. In questo modo, le nuove torce LMS di nostra produzione non soddisfano solo gli operatori, ma anche i responsabili della produzione nel settore industriale."</w:t>
      </w:r>
    </w:p>
    <w:p w14:paraId="48B3233F" w14:textId="247C4060" w:rsidR="008950F8" w:rsidRDefault="008950F8" w:rsidP="008950F8">
      <w:pPr>
        <w:spacing w:after="0" w:line="240" w:lineRule="auto"/>
        <w:ind w:right="283"/>
        <w:rPr>
          <w:rFonts w:ascii="Verdana" w:hAnsi="Verdana"/>
          <w:i/>
          <w:sz w:val="20"/>
          <w:szCs w:val="20"/>
        </w:rPr>
      </w:pPr>
    </w:p>
    <w:p w14:paraId="4DBE58E6" w14:textId="1A6547F9" w:rsidR="00231E6C" w:rsidRDefault="00231E6C" w:rsidP="008950F8">
      <w:pPr>
        <w:spacing w:after="0" w:line="240" w:lineRule="auto"/>
        <w:ind w:right="283"/>
        <w:rPr>
          <w:rFonts w:ascii="Verdana" w:hAnsi="Verdana"/>
          <w:i/>
          <w:sz w:val="20"/>
          <w:szCs w:val="20"/>
        </w:rPr>
      </w:pPr>
    </w:p>
    <w:p w14:paraId="3A86DBD2" w14:textId="77777777" w:rsidR="00231E6C" w:rsidRDefault="00231E6C" w:rsidP="008950F8">
      <w:pPr>
        <w:spacing w:after="0" w:line="240" w:lineRule="auto"/>
        <w:ind w:right="283"/>
        <w:rPr>
          <w:rFonts w:ascii="Verdana" w:hAnsi="Verdana"/>
          <w:i/>
          <w:sz w:val="20"/>
          <w:szCs w:val="20"/>
        </w:rPr>
      </w:pPr>
    </w:p>
    <w:p w14:paraId="7C86DE3D" w14:textId="30842518" w:rsidR="00AB6BF1" w:rsidRDefault="00A525A9" w:rsidP="007B7E3C">
      <w:pPr>
        <w:spacing w:after="0" w:line="240" w:lineRule="auto"/>
        <w:ind w:right="283"/>
        <w:rPr>
          <w:rFonts w:ascii="Verdana" w:hAnsi="Verdana"/>
          <w:i/>
          <w:sz w:val="20"/>
          <w:szCs w:val="20"/>
        </w:rPr>
      </w:pPr>
      <w:r>
        <w:rPr>
          <w:rFonts w:ascii="Verdana" w:hAnsi="Verdana"/>
          <w:i/>
          <w:sz w:val="20"/>
        </w:rPr>
        <w:t>Lorch Schweißtechnik GmbH è un produttore leader d</w:t>
      </w:r>
      <w:r w:rsidR="000516E5">
        <w:rPr>
          <w:rFonts w:ascii="Verdana" w:hAnsi="Verdana"/>
          <w:i/>
          <w:sz w:val="20"/>
        </w:rPr>
        <w:t>i</w:t>
      </w:r>
      <w:r>
        <w:rPr>
          <w:rFonts w:ascii="Verdana" w:hAnsi="Verdana"/>
          <w:i/>
          <w:sz w:val="20"/>
        </w:rPr>
        <w:t xml:space="preserve"> impianti di saldatura ad arco elettrico per le applicazioni industriali, il complesso settore metalmeccanico e l'utilizzo nell'automazione con robot e sistemi robotizzati collaborativi. Gli impianti di qualità Lorch sono prodotti da oltre 65 anni in Germania presso uno degli stabilimenti più moderni al mondo ed esportati in oltre 60 paesi. La tecnologia della saldatura di Lorch combina grandi vantaggi pratici, la massima semplicità gestionale ed un'elevata economicità definendo nuovi standard tecnologici per il mercato.</w:t>
      </w:r>
    </w:p>
    <w:p w14:paraId="332BBBD9" w14:textId="77777777" w:rsidR="00AB6BF1" w:rsidRDefault="00AB6BF1" w:rsidP="007B7E3C">
      <w:pPr>
        <w:spacing w:after="0" w:line="240" w:lineRule="auto"/>
        <w:ind w:right="283"/>
        <w:rPr>
          <w:rFonts w:ascii="Verdana" w:hAnsi="Verdana"/>
          <w:i/>
          <w:sz w:val="20"/>
          <w:szCs w:val="20"/>
        </w:rPr>
      </w:pPr>
    </w:p>
    <w:p w14:paraId="77139EB8" w14:textId="77777777" w:rsidR="00231E6C" w:rsidRDefault="00231E6C" w:rsidP="007B7E3C">
      <w:pPr>
        <w:spacing w:after="0" w:line="240" w:lineRule="auto"/>
        <w:ind w:right="283"/>
        <w:rPr>
          <w:rFonts w:ascii="Verdana" w:hAnsi="Verdana"/>
          <w:i/>
          <w:sz w:val="20"/>
        </w:rPr>
      </w:pPr>
    </w:p>
    <w:p w14:paraId="57161C49" w14:textId="77777777" w:rsidR="00231E6C" w:rsidRPr="00231E6C" w:rsidRDefault="00231E6C" w:rsidP="007B7E3C">
      <w:pPr>
        <w:spacing w:after="0" w:line="240" w:lineRule="auto"/>
        <w:ind w:right="283"/>
        <w:rPr>
          <w:rFonts w:ascii="Open Sans" w:hAnsi="Open Sans" w:cs="Open Sans"/>
          <w:i/>
          <w:sz w:val="20"/>
          <w:szCs w:val="20"/>
        </w:rPr>
      </w:pPr>
    </w:p>
    <w:p w14:paraId="133B8828" w14:textId="77777777" w:rsidR="00231E6C" w:rsidRPr="00231E6C" w:rsidRDefault="00231E6C" w:rsidP="007B7E3C">
      <w:pPr>
        <w:spacing w:after="0" w:line="240" w:lineRule="auto"/>
        <w:ind w:right="283"/>
        <w:rPr>
          <w:rFonts w:ascii="Open Sans" w:hAnsi="Open Sans" w:cs="Open Sans"/>
          <w:i/>
          <w:sz w:val="20"/>
          <w:szCs w:val="20"/>
        </w:rPr>
      </w:pPr>
    </w:p>
    <w:p w14:paraId="33656764" w14:textId="0648002E" w:rsidR="009A4C1B" w:rsidRPr="00231E6C" w:rsidRDefault="0054055E" w:rsidP="007B7E3C">
      <w:pPr>
        <w:spacing w:after="0" w:line="240" w:lineRule="auto"/>
        <w:ind w:right="283"/>
        <w:rPr>
          <w:rFonts w:ascii="Open Sans" w:hAnsi="Open Sans" w:cs="Open Sans"/>
          <w:i/>
          <w:sz w:val="20"/>
          <w:szCs w:val="20"/>
        </w:rPr>
      </w:pPr>
      <w:r w:rsidRPr="00231E6C">
        <w:rPr>
          <w:rFonts w:ascii="Open Sans" w:hAnsi="Open Sans" w:cs="Open Sans"/>
          <w:i/>
          <w:sz w:val="20"/>
          <w:szCs w:val="20"/>
        </w:rPr>
        <w:br/>
      </w:r>
    </w:p>
    <w:p w14:paraId="17D64A5B" w14:textId="6C997639" w:rsidR="00E146B4" w:rsidRPr="00231E6C" w:rsidRDefault="004124FA" w:rsidP="00857A7E">
      <w:pPr>
        <w:ind w:right="-1"/>
        <w:rPr>
          <w:rFonts w:ascii="Open Sans" w:hAnsi="Open Sans" w:cs="Open Sans"/>
          <w:b/>
          <w:bCs/>
          <w:sz w:val="20"/>
          <w:szCs w:val="20"/>
        </w:rPr>
      </w:pPr>
      <w:r w:rsidRPr="00231E6C">
        <w:rPr>
          <w:rFonts w:ascii="Open Sans" w:hAnsi="Open Sans" w:cs="Open Sans"/>
          <w:b/>
          <w:noProof/>
          <w:sz w:val="20"/>
          <w:szCs w:val="20"/>
        </w:rPr>
        <w:drawing>
          <wp:inline distT="0" distB="0" distL="0" distR="0" wp14:anchorId="56594E9C" wp14:editId="0D161DA7">
            <wp:extent cx="3657600" cy="2691978"/>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79096" cy="2707799"/>
                    </a:xfrm>
                    <a:prstGeom prst="rect">
                      <a:avLst/>
                    </a:prstGeom>
                  </pic:spPr>
                </pic:pic>
              </a:graphicData>
            </a:graphic>
          </wp:inline>
        </w:drawing>
      </w:r>
    </w:p>
    <w:p w14:paraId="1B350B6D" w14:textId="45162742" w:rsidR="007B7E3C" w:rsidRPr="00231E6C" w:rsidRDefault="007B7E3C" w:rsidP="007B7E3C">
      <w:pPr>
        <w:rPr>
          <w:rFonts w:ascii="Open Sans" w:hAnsi="Open Sans" w:cs="Open Sans"/>
          <w:sz w:val="20"/>
          <w:szCs w:val="20"/>
        </w:rPr>
      </w:pPr>
      <w:r w:rsidRPr="00231E6C">
        <w:rPr>
          <w:rFonts w:ascii="Open Sans" w:hAnsi="Open Sans" w:cs="Open Sans"/>
          <w:sz w:val="20"/>
          <w:szCs w:val="20"/>
        </w:rPr>
        <w:t xml:space="preserve">Fig. 1 - Le nuove torce </w:t>
      </w:r>
      <w:r w:rsidR="000516E5" w:rsidRPr="00231E6C">
        <w:rPr>
          <w:rFonts w:ascii="Open Sans" w:hAnsi="Open Sans" w:cs="Open Sans"/>
          <w:sz w:val="20"/>
          <w:szCs w:val="20"/>
        </w:rPr>
        <w:t>ad alta p</w:t>
      </w:r>
      <w:r w:rsidRPr="00231E6C">
        <w:rPr>
          <w:rFonts w:ascii="Open Sans" w:hAnsi="Open Sans" w:cs="Open Sans"/>
          <w:sz w:val="20"/>
          <w:szCs w:val="20"/>
        </w:rPr>
        <w:t>erfomance MIG-MAG di Lorch si adattano perfettamente alle mani e offrono un'ottimizzazione senza scendere a compromessi per aumentare la produttività e risparmiare risorse.</w:t>
      </w:r>
    </w:p>
    <w:p w14:paraId="386E20C1" w14:textId="51FA5CF3" w:rsidR="008B04E8" w:rsidRPr="00231E6C" w:rsidRDefault="008B04E8" w:rsidP="00857A7E">
      <w:pPr>
        <w:ind w:right="-1"/>
        <w:rPr>
          <w:rFonts w:ascii="Open Sans" w:hAnsi="Open Sans" w:cs="Open Sans"/>
          <w:b/>
          <w:sz w:val="20"/>
          <w:szCs w:val="20"/>
        </w:rPr>
      </w:pPr>
    </w:p>
    <w:p w14:paraId="0CCCA9AD" w14:textId="2CEACE68" w:rsidR="007313DE" w:rsidRPr="00231E6C" w:rsidRDefault="00861788" w:rsidP="00857A7E">
      <w:pPr>
        <w:ind w:right="-1"/>
        <w:rPr>
          <w:rFonts w:ascii="Open Sans" w:hAnsi="Open Sans" w:cs="Open Sans"/>
          <w:b/>
          <w:sz w:val="20"/>
          <w:szCs w:val="20"/>
        </w:rPr>
      </w:pPr>
      <w:r w:rsidRPr="00231E6C">
        <w:rPr>
          <w:rFonts w:ascii="Open Sans" w:hAnsi="Open Sans" w:cs="Open Sans"/>
          <w:b/>
          <w:noProof/>
          <w:sz w:val="20"/>
          <w:szCs w:val="20"/>
        </w:rPr>
        <w:lastRenderedPageBreak/>
        <w:drawing>
          <wp:inline distT="0" distB="0" distL="0" distR="0" wp14:anchorId="38AF7C88" wp14:editId="0DC9937C">
            <wp:extent cx="4314825" cy="3172128"/>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15053" cy="3172296"/>
                    </a:xfrm>
                    <a:prstGeom prst="rect">
                      <a:avLst/>
                    </a:prstGeom>
                    <a:noFill/>
                    <a:ln>
                      <a:noFill/>
                    </a:ln>
                  </pic:spPr>
                </pic:pic>
              </a:graphicData>
            </a:graphic>
          </wp:inline>
        </w:drawing>
      </w:r>
    </w:p>
    <w:p w14:paraId="6ED52F1C" w14:textId="056D02F0" w:rsidR="007313DE" w:rsidRPr="00231E6C" w:rsidRDefault="007B7E3C" w:rsidP="007B7E3C">
      <w:pPr>
        <w:tabs>
          <w:tab w:val="left" w:pos="467"/>
        </w:tabs>
        <w:ind w:right="-1"/>
        <w:rPr>
          <w:rFonts w:ascii="Open Sans" w:hAnsi="Open Sans" w:cs="Open Sans"/>
          <w:bCs/>
          <w:sz w:val="20"/>
          <w:szCs w:val="20"/>
        </w:rPr>
      </w:pPr>
      <w:r w:rsidRPr="00231E6C">
        <w:rPr>
          <w:rFonts w:ascii="Open Sans" w:hAnsi="Open Sans" w:cs="Open Sans"/>
          <w:sz w:val="20"/>
          <w:szCs w:val="20"/>
        </w:rPr>
        <w:t xml:space="preserve">Fig. 2 - La nuova gamma di torce LMS di Lorch consente di realizzare saldature d'eccellenza grazie al flusso di gas ottimale, </w:t>
      </w:r>
      <w:r w:rsidR="000516E5" w:rsidRPr="00231E6C">
        <w:rPr>
          <w:rFonts w:ascii="Open Sans" w:hAnsi="Open Sans" w:cs="Open Sans"/>
          <w:sz w:val="20"/>
          <w:szCs w:val="20"/>
        </w:rPr>
        <w:t>al</w:t>
      </w:r>
      <w:r w:rsidRPr="00231E6C">
        <w:rPr>
          <w:rFonts w:ascii="Open Sans" w:hAnsi="Open Sans" w:cs="Open Sans"/>
          <w:sz w:val="20"/>
          <w:szCs w:val="20"/>
        </w:rPr>
        <w:t>l'arco elettrico estremamente stabile e silenzioso e la forma ergonomica all'avanguardia.</w:t>
      </w:r>
    </w:p>
    <w:p w14:paraId="21301C98" w14:textId="77777777" w:rsidR="003A76D8" w:rsidRPr="00231E6C" w:rsidRDefault="003A76D8" w:rsidP="00857A7E">
      <w:pPr>
        <w:ind w:right="-1"/>
        <w:rPr>
          <w:rFonts w:ascii="Open Sans" w:hAnsi="Open Sans" w:cs="Open Sans"/>
          <w:b/>
          <w:sz w:val="20"/>
          <w:szCs w:val="20"/>
        </w:rPr>
      </w:pPr>
    </w:p>
    <w:p w14:paraId="124415D2" w14:textId="09948146" w:rsidR="007C6924" w:rsidRPr="00231E6C" w:rsidRDefault="007C6924" w:rsidP="00857A7E">
      <w:pPr>
        <w:ind w:right="-1"/>
        <w:rPr>
          <w:rFonts w:ascii="Open Sans" w:hAnsi="Open Sans" w:cs="Open Sans"/>
          <w:b/>
          <w:sz w:val="20"/>
          <w:szCs w:val="20"/>
          <w:lang w:val="de-DE"/>
        </w:rPr>
      </w:pPr>
      <w:r w:rsidRPr="00231E6C">
        <w:rPr>
          <w:rFonts w:ascii="Open Sans" w:hAnsi="Open Sans" w:cs="Open Sans"/>
          <w:b/>
          <w:sz w:val="20"/>
          <w:szCs w:val="20"/>
          <w:lang w:val="de-DE"/>
        </w:rPr>
        <w:t xml:space="preserve">Contatto stampa </w:t>
      </w:r>
    </w:p>
    <w:p w14:paraId="5905C5B8" w14:textId="77777777" w:rsidR="007C6924" w:rsidRPr="00231E6C"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lang w:val="de-DE"/>
        </w:rPr>
      </w:pPr>
      <w:r w:rsidRPr="00231E6C">
        <w:rPr>
          <w:rFonts w:ascii="Open Sans" w:hAnsi="Open Sans" w:cs="Open Sans"/>
          <w:color w:val="auto"/>
          <w:sz w:val="20"/>
          <w:lang w:val="de-DE"/>
        </w:rPr>
        <w:t>Lorch Schweißtechnik GmbH</w:t>
      </w:r>
      <w:r w:rsidRPr="00231E6C">
        <w:rPr>
          <w:rFonts w:ascii="Open Sans" w:hAnsi="Open Sans" w:cs="Open Sans"/>
          <w:color w:val="auto"/>
          <w:sz w:val="20"/>
          <w:lang w:val="de-DE"/>
        </w:rPr>
        <w:br/>
        <w:t xml:space="preserve">Lisa Michler </w:t>
      </w:r>
      <w:r w:rsidRPr="00231E6C">
        <w:rPr>
          <w:rFonts w:ascii="Open Sans" w:hAnsi="Open Sans" w:cs="Open Sans"/>
          <w:color w:val="auto"/>
          <w:sz w:val="20"/>
          <w:lang w:val="de-DE"/>
        </w:rPr>
        <w:br/>
        <w:t>Im Anwänder 24-26</w:t>
      </w:r>
      <w:r w:rsidRPr="00231E6C">
        <w:rPr>
          <w:rFonts w:ascii="Open Sans" w:hAnsi="Open Sans" w:cs="Open Sans"/>
          <w:color w:val="auto"/>
          <w:sz w:val="20"/>
          <w:lang w:val="de-DE"/>
        </w:rPr>
        <w:br/>
        <w:t>71549 Auenwald</w:t>
      </w:r>
    </w:p>
    <w:p w14:paraId="1FF0250B" w14:textId="7935A435" w:rsidR="007C6924" w:rsidRPr="00231E6C"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lang w:val="en-GB"/>
        </w:rPr>
      </w:pPr>
      <w:r w:rsidRPr="00231E6C">
        <w:rPr>
          <w:rFonts w:ascii="Open Sans" w:hAnsi="Open Sans" w:cs="Open Sans"/>
          <w:color w:val="auto"/>
          <w:sz w:val="20"/>
          <w:lang w:val="en-GB"/>
        </w:rPr>
        <w:t>Germany / Germania</w:t>
      </w:r>
      <w:r w:rsidRPr="00231E6C">
        <w:rPr>
          <w:rFonts w:ascii="Open Sans" w:hAnsi="Open Sans" w:cs="Open Sans"/>
          <w:color w:val="auto"/>
          <w:sz w:val="20"/>
          <w:lang w:val="en-GB"/>
        </w:rPr>
        <w:br/>
      </w:r>
    </w:p>
    <w:p w14:paraId="5AC9E85E" w14:textId="258C91DA" w:rsidR="007C6924" w:rsidRPr="00231E6C" w:rsidRDefault="00231E6C"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lang w:val="en-GB"/>
        </w:rPr>
      </w:pPr>
      <w:hyperlink r:id="rId13" w:history="1">
        <w:r w:rsidR="00861788" w:rsidRPr="00231E6C">
          <w:rPr>
            <w:rStyle w:val="Hyperlink"/>
            <w:rFonts w:ascii="Open Sans" w:hAnsi="Open Sans" w:cs="Open Sans"/>
            <w:color w:val="auto"/>
            <w:sz w:val="20"/>
            <w:lang w:val="en-GB"/>
          </w:rPr>
          <w:t>presse@lorch.eu</w:t>
        </w:r>
      </w:hyperlink>
    </w:p>
    <w:p w14:paraId="62BD089C" w14:textId="068C9296" w:rsidR="00D43A07" w:rsidRPr="00231E6C"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r w:rsidRPr="00231E6C">
        <w:rPr>
          <w:rFonts w:ascii="Open Sans" w:hAnsi="Open Sans" w:cs="Open Sans"/>
          <w:color w:val="auto"/>
          <w:sz w:val="20"/>
          <w:lang w:val="en-GB"/>
        </w:rPr>
        <w:t>Tel. +49 7191 503-0</w:t>
      </w:r>
      <w:r w:rsidRPr="00231E6C">
        <w:rPr>
          <w:rFonts w:ascii="Open Sans" w:hAnsi="Open Sans" w:cs="Open Sans"/>
          <w:color w:val="auto"/>
          <w:sz w:val="20"/>
          <w:lang w:val="en-GB"/>
        </w:rPr>
        <w:br/>
      </w:r>
      <w:r w:rsidRPr="00231E6C">
        <w:rPr>
          <w:rFonts w:ascii="Open Sans" w:hAnsi="Open Sans" w:cs="Open Sans"/>
          <w:i/>
          <w:color w:val="auto"/>
          <w:sz w:val="20"/>
        </w:rPr>
        <w:t xml:space="preserve">La ristampa è consentita senza vincoli. È richiesta una copia giustificativa. </w:t>
      </w:r>
    </w:p>
    <w:p w14:paraId="07EAB001" w14:textId="77777777" w:rsidR="00857A7E" w:rsidRPr="00231E6C" w:rsidRDefault="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p>
    <w:sectPr w:rsidR="00857A7E" w:rsidRPr="00231E6C" w:rsidSect="009B0E69">
      <w:headerReference w:type="default" r:id="rId14"/>
      <w:footerReference w:type="default" r:id="rId15"/>
      <w:headerReference w:type="first" r:id="rId16"/>
      <w:footerReference w:type="first" r:id="rId17"/>
      <w:pgSz w:w="11906" w:h="16838"/>
      <w:pgMar w:top="3119" w:right="3401" w:bottom="1276" w:left="1418" w:header="709"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A9F94C" w14:textId="77777777" w:rsidR="007177A5" w:rsidRDefault="007177A5" w:rsidP="0081148E">
      <w:pPr>
        <w:spacing w:after="0" w:line="240" w:lineRule="auto"/>
      </w:pPr>
      <w:r>
        <w:separator/>
      </w:r>
    </w:p>
  </w:endnote>
  <w:endnote w:type="continuationSeparator" w:id="0">
    <w:p w14:paraId="064FE4FA" w14:textId="77777777" w:rsidR="007177A5" w:rsidRDefault="007177A5" w:rsidP="008114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pitch w:val="variable"/>
    <w:sig w:usb0="E0002EFF" w:usb1="C000785B" w:usb2="00000009" w:usb3="00000000" w:csb0="000001FF" w:csb1="00000000"/>
  </w:font>
  <w:font w:name="ヒラギノ角ゴ Pro W3">
    <w:altName w:val="Yu Gothic"/>
    <w:panose1 w:val="00000000000000000000"/>
    <w:charset w:val="80"/>
    <w:family w:val="auto"/>
    <w:notTrueType/>
    <w:pitch w:val="variable"/>
    <w:sig w:usb0="00000001" w:usb1="00000000" w:usb2="01000407" w:usb3="00000000" w:csb0="00020000" w:csb1="00000000"/>
  </w:font>
  <w:font w:name="Consolas">
    <w:panose1 w:val="020B0609020204030204"/>
    <w:charset w:val="00"/>
    <w:family w:val="modern"/>
    <w:pitch w:val="fixed"/>
    <w:sig w:usb0="E00006FF" w:usb1="0000FCFF" w:usb2="00000001" w:usb3="00000000" w:csb0="0000019F" w:csb1="00000000"/>
  </w:font>
  <w:font w:name="Proxima Nova Light">
    <w:altName w:val="Tahoma"/>
    <w:panose1 w:val="02000506030000020004"/>
    <w:charset w:val="00"/>
    <w:family w:val="auto"/>
    <w:pitch w:val="variable"/>
    <w:sig w:usb0="A00002EF" w:usb1="5000E0FB" w:usb2="00000000" w:usb3="00000000" w:csb0="0000019F" w:csb1="00000000"/>
  </w:font>
  <w:font w:name="Open Sans SemiBold">
    <w:panose1 w:val="020B0706030804020204"/>
    <w:charset w:val="00"/>
    <w:family w:val="swiss"/>
    <w:pitch w:val="variable"/>
    <w:sig w:usb0="E00002EF" w:usb1="4000205B" w:usb2="00000028" w:usb3="00000000" w:csb0="0000019F" w:csb1="00000000"/>
  </w:font>
  <w:font w:name="Proxima Nova">
    <w:panose1 w:val="02000506030000020004"/>
    <w:charset w:val="00"/>
    <w:family w:val="auto"/>
    <w:pitch w:val="variable"/>
    <w:sig w:usb0="A00002EF" w:usb1="5000E0FB" w:usb2="00000000" w:usb3="00000000" w:csb0="0000019F" w:csb1="00000000"/>
  </w:font>
  <w:font w:name="Verdana">
    <w:panose1 w:val="020B0604030504040204"/>
    <w:charset w:val="00"/>
    <w:family w:val="swiss"/>
    <w:pitch w:val="variable"/>
    <w:sig w:usb0="A00006FF" w:usb1="4000205B" w:usb2="00000010" w:usb3="00000000" w:csb0="0000019F" w:csb1="00000000"/>
  </w:font>
  <w:font w:name="Antenna Bold">
    <w:panose1 w:val="02000505000000020004"/>
    <w:charset w:val="00"/>
    <w:family w:val="auto"/>
    <w:pitch w:val="variable"/>
    <w:sig w:usb0="00000207" w:usb1="00000001" w:usb2="00000000" w:usb3="00000000" w:csb0="00000097" w:csb1="00000000"/>
  </w:font>
  <w:font w:name="Antenna Light">
    <w:altName w:val="Calibri"/>
    <w:panose1 w:val="02000505000000020004"/>
    <w:charset w:val="00"/>
    <w:family w:val="auto"/>
    <w:pitch w:val="variable"/>
    <w:sig w:usb0="00000207" w:usb1="00000001" w:usb2="00000000" w:usb3="00000000" w:csb0="000000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515861"/>
      <w:docPartObj>
        <w:docPartGallery w:val="Page Numbers (Bottom of Page)"/>
        <w:docPartUnique/>
      </w:docPartObj>
    </w:sdtPr>
    <w:sdtEndPr/>
    <w:sdtContent>
      <w:sdt>
        <w:sdtPr>
          <w:id w:val="29515860"/>
          <w:docPartObj>
            <w:docPartGallery w:val="Page Numbers (Top of Page)"/>
            <w:docPartUnique/>
          </w:docPartObj>
        </w:sdtPr>
        <w:sdtEndPr/>
        <w:sdtContent>
          <w:p w14:paraId="464DE274" w14:textId="3D35CEDF" w:rsidR="009B0E69" w:rsidRDefault="009B0E69">
            <w:pPr>
              <w:pStyle w:val="Fuzeile"/>
              <w:jc w:val="right"/>
            </w:pPr>
            <w:r>
              <w:rPr>
                <w:rFonts w:ascii="Verdana" w:hAnsi="Verdana"/>
                <w:sz w:val="14"/>
              </w:rPr>
              <w:t xml:space="preserve">Pagina </w:t>
            </w:r>
            <w:r w:rsidRPr="009B0E69">
              <w:rPr>
                <w:rFonts w:ascii="Verdana" w:hAnsi="Verdana"/>
                <w:sz w:val="14"/>
              </w:rPr>
              <w:fldChar w:fldCharType="begin"/>
            </w:r>
            <w:r w:rsidRPr="009B0E69">
              <w:rPr>
                <w:rFonts w:ascii="Verdana" w:hAnsi="Verdana"/>
                <w:sz w:val="14"/>
              </w:rPr>
              <w:instrText>PAGE</w:instrText>
            </w:r>
            <w:r w:rsidRPr="009B0E69">
              <w:rPr>
                <w:rFonts w:ascii="Verdana" w:hAnsi="Verdana"/>
                <w:sz w:val="14"/>
              </w:rPr>
              <w:fldChar w:fldCharType="separate"/>
            </w:r>
            <w:r w:rsidR="00553ECC">
              <w:rPr>
                <w:rFonts w:ascii="Verdana" w:hAnsi="Verdana"/>
                <w:sz w:val="14"/>
              </w:rPr>
              <w:t>1</w:t>
            </w:r>
            <w:r w:rsidRPr="009B0E69">
              <w:rPr>
                <w:rFonts w:ascii="Verdana" w:hAnsi="Verdana"/>
                <w:sz w:val="14"/>
              </w:rPr>
              <w:fldChar w:fldCharType="end"/>
            </w:r>
            <w:r>
              <w:rPr>
                <w:rFonts w:ascii="Verdana" w:hAnsi="Verdana"/>
                <w:sz w:val="14"/>
              </w:rPr>
              <w:t xml:space="preserve"> di </w:t>
            </w:r>
            <w:r w:rsidRPr="009B0E69">
              <w:rPr>
                <w:rFonts w:ascii="Verdana" w:hAnsi="Verdana"/>
                <w:sz w:val="14"/>
              </w:rPr>
              <w:fldChar w:fldCharType="begin"/>
            </w:r>
            <w:r w:rsidRPr="009B0E69">
              <w:rPr>
                <w:rFonts w:ascii="Verdana" w:hAnsi="Verdana"/>
                <w:sz w:val="14"/>
              </w:rPr>
              <w:instrText>NUMPAGES</w:instrText>
            </w:r>
            <w:r w:rsidRPr="009B0E69">
              <w:rPr>
                <w:rFonts w:ascii="Verdana" w:hAnsi="Verdana"/>
                <w:sz w:val="14"/>
              </w:rPr>
              <w:fldChar w:fldCharType="separate"/>
            </w:r>
            <w:r w:rsidR="00553ECC">
              <w:rPr>
                <w:rFonts w:ascii="Verdana" w:hAnsi="Verdana"/>
                <w:sz w:val="14"/>
              </w:rPr>
              <w:t>5</w:t>
            </w:r>
            <w:r w:rsidRPr="009B0E69">
              <w:rPr>
                <w:rFonts w:ascii="Verdana" w:hAnsi="Verdana"/>
                <w:sz w:val="14"/>
              </w:rPr>
              <w:fldChar w:fldCharType="end"/>
            </w:r>
          </w:p>
        </w:sdtContent>
      </w:sdt>
    </w:sdtContent>
  </w:sdt>
  <w:p w14:paraId="34F55801" w14:textId="77777777" w:rsidR="00A73794" w:rsidRDefault="00A7379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515842"/>
      <w:docPartObj>
        <w:docPartGallery w:val="Page Numbers (Bottom of Page)"/>
        <w:docPartUnique/>
      </w:docPartObj>
    </w:sdtPr>
    <w:sdtEndPr/>
    <w:sdtContent>
      <w:sdt>
        <w:sdtPr>
          <w:id w:val="1021177321"/>
          <w:docPartObj>
            <w:docPartGallery w:val="Page Numbers (Top of Page)"/>
            <w:docPartUnique/>
          </w:docPartObj>
        </w:sdtPr>
        <w:sdtEndPr/>
        <w:sdtContent>
          <w:p w14:paraId="5E03F0D9" w14:textId="77777777" w:rsidR="009B0E69" w:rsidRDefault="009B0E69">
            <w:pPr>
              <w:pStyle w:val="Fuzeile"/>
              <w:jc w:val="right"/>
            </w:pPr>
            <w:r>
              <w:rPr>
                <w:rFonts w:ascii="Verdana" w:hAnsi="Verdana"/>
                <w:sz w:val="14"/>
              </w:rPr>
              <w:t xml:space="preserve">Pagina </w:t>
            </w:r>
            <w:r w:rsidRPr="009B0E69">
              <w:rPr>
                <w:rFonts w:ascii="Verdana" w:hAnsi="Verdana"/>
                <w:b/>
                <w:sz w:val="14"/>
              </w:rPr>
              <w:fldChar w:fldCharType="begin"/>
            </w:r>
            <w:r w:rsidRPr="009B0E69">
              <w:rPr>
                <w:rFonts w:ascii="Verdana" w:hAnsi="Verdana"/>
                <w:b/>
                <w:sz w:val="14"/>
              </w:rPr>
              <w:instrText>PAGE</w:instrText>
            </w:r>
            <w:r w:rsidRPr="009B0E69">
              <w:rPr>
                <w:rFonts w:ascii="Verdana" w:hAnsi="Verdana"/>
                <w:b/>
                <w:sz w:val="14"/>
              </w:rPr>
              <w:fldChar w:fldCharType="separate"/>
            </w:r>
            <w:r>
              <w:rPr>
                <w:rFonts w:ascii="Verdana" w:hAnsi="Verdana"/>
                <w:b/>
                <w:sz w:val="14"/>
              </w:rPr>
              <w:t>1</w:t>
            </w:r>
            <w:r w:rsidRPr="009B0E69">
              <w:rPr>
                <w:rFonts w:ascii="Verdana" w:hAnsi="Verdana"/>
                <w:b/>
                <w:sz w:val="14"/>
              </w:rPr>
              <w:fldChar w:fldCharType="end"/>
            </w:r>
            <w:r>
              <w:rPr>
                <w:rFonts w:ascii="Verdana" w:hAnsi="Verdana"/>
                <w:sz w:val="14"/>
              </w:rPr>
              <w:t xml:space="preserve"> di </w:t>
            </w:r>
            <w:r w:rsidRPr="009B0E69">
              <w:rPr>
                <w:rFonts w:ascii="Verdana" w:hAnsi="Verdana"/>
                <w:b/>
                <w:sz w:val="14"/>
              </w:rPr>
              <w:fldChar w:fldCharType="begin"/>
            </w:r>
            <w:r w:rsidRPr="009B0E69">
              <w:rPr>
                <w:rFonts w:ascii="Verdana" w:hAnsi="Verdana"/>
                <w:b/>
                <w:sz w:val="14"/>
              </w:rPr>
              <w:instrText>NUMPAGES</w:instrText>
            </w:r>
            <w:r w:rsidRPr="009B0E69">
              <w:rPr>
                <w:rFonts w:ascii="Verdana" w:hAnsi="Verdana"/>
                <w:b/>
                <w:sz w:val="14"/>
              </w:rPr>
              <w:fldChar w:fldCharType="separate"/>
            </w:r>
            <w:r>
              <w:rPr>
                <w:rFonts w:ascii="Verdana" w:hAnsi="Verdana"/>
                <w:b/>
                <w:sz w:val="14"/>
              </w:rPr>
              <w:t>3</w:t>
            </w:r>
            <w:r w:rsidRPr="009B0E69">
              <w:rPr>
                <w:rFonts w:ascii="Verdana" w:hAnsi="Verdana"/>
                <w:b/>
                <w:sz w:val="14"/>
              </w:rPr>
              <w:fldChar w:fldCharType="end"/>
            </w:r>
          </w:p>
        </w:sdtContent>
      </w:sdt>
    </w:sdtContent>
  </w:sdt>
  <w:p w14:paraId="583BA1ED" w14:textId="77777777" w:rsidR="009B0E69" w:rsidRDefault="009B0E6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567B4D" w14:textId="77777777" w:rsidR="007177A5" w:rsidRDefault="007177A5" w:rsidP="0081148E">
      <w:pPr>
        <w:spacing w:after="0" w:line="240" w:lineRule="auto"/>
      </w:pPr>
      <w:r>
        <w:separator/>
      </w:r>
    </w:p>
  </w:footnote>
  <w:footnote w:type="continuationSeparator" w:id="0">
    <w:p w14:paraId="562FF30F" w14:textId="77777777" w:rsidR="007177A5" w:rsidRDefault="007177A5" w:rsidP="008114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F4841" w14:textId="0EA7CAA8" w:rsidR="00A73794" w:rsidRPr="007B6DBC" w:rsidRDefault="00F81272">
    <w:pPr>
      <w:pStyle w:val="Kopfzeile"/>
      <w:rPr>
        <w:rFonts w:ascii="Proxima Nova" w:hAnsi="Proxima Nova"/>
        <w:sz w:val="32"/>
        <w:szCs w:val="32"/>
      </w:rPr>
    </w:pPr>
    <w:r>
      <w:rPr>
        <w:rFonts w:ascii="Proxima Nova" w:hAnsi="Proxima Nova"/>
        <w:noProof/>
        <w:sz w:val="32"/>
      </w:rPr>
      <w:drawing>
        <wp:anchor distT="0" distB="0" distL="114300" distR="114300" simplePos="0" relativeHeight="251658752" behindDoc="1" locked="0" layoutInCell="1" allowOverlap="1" wp14:anchorId="0E2DE914" wp14:editId="125349F5">
          <wp:simplePos x="0" y="0"/>
          <wp:positionH relativeFrom="column">
            <wp:posOffset>4926624</wp:posOffset>
          </wp:positionH>
          <wp:positionV relativeFrom="paragraph">
            <wp:posOffset>-136886</wp:posOffset>
          </wp:positionV>
          <wp:extent cx="1306195" cy="669925"/>
          <wp:effectExtent l="0" t="0" r="8255" b="0"/>
          <wp:wrapThrough wrapText="bothSides">
            <wp:wrapPolygon edited="0">
              <wp:start x="0" y="0"/>
              <wp:lineTo x="0" y="20883"/>
              <wp:lineTo x="21421" y="20883"/>
              <wp:lineTo x="21421" y="0"/>
              <wp:lineTo x="0" y="0"/>
            </wp:wrapPolygon>
          </wp:wrapThrough>
          <wp:docPr id="3" name="Bild 9" descr="Lorch_Logo_Claim_red_4c_2017_RZ_100x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Lorch_Logo_Claim_red_4c_2017_RZ_100x5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669925"/>
                  </a:xfrm>
                  <a:prstGeom prst="rect">
                    <a:avLst/>
                  </a:prstGeom>
                  <a:noFill/>
                  <a:ln>
                    <a:noFill/>
                  </a:ln>
                </pic:spPr>
              </pic:pic>
            </a:graphicData>
          </a:graphic>
        </wp:anchor>
      </w:drawing>
    </w:r>
    <w:r>
      <w:rPr>
        <w:rFonts w:ascii="Proxima Nova" w:hAnsi="Proxima Nova"/>
        <w:noProof/>
        <w:sz w:val="32"/>
      </w:rPr>
      <mc:AlternateContent>
        <mc:Choice Requires="wps">
          <w:drawing>
            <wp:anchor distT="0" distB="0" distL="114300" distR="114300" simplePos="0" relativeHeight="251665920" behindDoc="0" locked="0" layoutInCell="1" allowOverlap="1" wp14:anchorId="2048FD7E" wp14:editId="54926133">
              <wp:simplePos x="0" y="0"/>
              <wp:positionH relativeFrom="page">
                <wp:posOffset>144145</wp:posOffset>
              </wp:positionH>
              <wp:positionV relativeFrom="page">
                <wp:posOffset>7560945</wp:posOffset>
              </wp:positionV>
              <wp:extent cx="14605" cy="14605"/>
              <wp:effectExtent l="1270" t="7620" r="3175" b="6350"/>
              <wp:wrapNone/>
              <wp:docPr id="16"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DEEE39" id="Oval 10" o:spid="_x0000_s1026" style="position:absolute;margin-left:11.35pt;margin-top:595.35pt;width:1.15pt;height:1.1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" fillcolor="#bf3922" stroked="f">
              <w10:wrap anchorx="page" anchory="page"/>
            </v:oval>
          </w:pict>
        </mc:Fallback>
      </mc:AlternateContent>
    </w:r>
    <w:r>
      <w:rPr>
        <w:rFonts w:ascii="Proxima Nova" w:hAnsi="Proxima Nova"/>
        <w:noProof/>
        <w:sz w:val="32"/>
      </w:rPr>
      <mc:AlternateContent>
        <mc:Choice Requires="wps">
          <w:drawing>
            <wp:anchor distT="0" distB="0" distL="114300" distR="114300" simplePos="0" relativeHeight="251664896" behindDoc="0" locked="0" layoutInCell="1" allowOverlap="1" wp14:anchorId="2B319B2C" wp14:editId="03A70BEC">
              <wp:simplePos x="0" y="0"/>
              <wp:positionH relativeFrom="page">
                <wp:posOffset>107950</wp:posOffset>
              </wp:positionH>
              <wp:positionV relativeFrom="page">
                <wp:posOffset>7560945</wp:posOffset>
              </wp:positionV>
              <wp:extent cx="14605" cy="14605"/>
              <wp:effectExtent l="3175" t="7620" r="1270" b="6350"/>
              <wp:wrapNone/>
              <wp:docPr id="15"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1011B9" id="Oval 9" o:spid="_x0000_s1026" style="position:absolute;margin-left:8.5pt;margin-top:595.35pt;width:1.15pt;height:1.1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" fillcolor="#bf3922" stroked="f">
              <w10:wrap anchorx="page" anchory="page"/>
            </v:oval>
          </w:pict>
        </mc:Fallback>
      </mc:AlternateContent>
    </w:r>
    <w:r>
      <w:rPr>
        <w:rFonts w:ascii="Proxima Nova" w:hAnsi="Proxima Nova"/>
        <w:noProof/>
        <w:sz w:val="32"/>
      </w:rPr>
      <mc:AlternateContent>
        <mc:Choice Requires="wps">
          <w:drawing>
            <wp:anchor distT="0" distB="0" distL="114300" distR="114300" simplePos="0" relativeHeight="251663872" behindDoc="0" locked="0" layoutInCell="1" allowOverlap="1" wp14:anchorId="291ABD01" wp14:editId="5DF72D2E">
              <wp:simplePos x="0" y="0"/>
              <wp:positionH relativeFrom="column">
                <wp:posOffset>-908050</wp:posOffset>
              </wp:positionH>
              <wp:positionV relativeFrom="page">
                <wp:posOffset>3960495</wp:posOffset>
              </wp:positionV>
              <wp:extent cx="179705" cy="0"/>
              <wp:effectExtent l="6350" t="7620" r="13970" b="11430"/>
              <wp:wrapNone/>
              <wp:docPr id="1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B0C8BBA" id="_x0000_t32" coordsize="21600,21600" o:spt="32" o:oned="t" path="m,l21600,21600e" filled="f">
              <v:path arrowok="t" fillok="f" o:connecttype="none"/>
              <o:lock v:ext="edit" shapetype="t"/>
            </v:shapetype>
            <v:shape id="AutoShape 8" o:spid="_x0000_s1026" type="#_x0000_t32" style="position:absolute;margin-left:-71.5pt;margin-top:311.85pt;width:14.15pt;height: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" strokecolor="#bf3922" strokeweight=".5pt">
              <w10:wrap anchory="page"/>
            </v:shape>
          </w:pict>
        </mc:Fallback>
      </mc:AlternateContent>
    </w:r>
  </w:p>
  <w:p w14:paraId="1333B890" w14:textId="20C1F37D" w:rsidR="00F81272" w:rsidRPr="009519B1" w:rsidRDefault="004B7D6A" w:rsidP="00F81272">
    <w:pPr>
      <w:rPr>
        <w:rFonts w:ascii="Proxima Nova" w:hAnsi="Proxima Nova"/>
        <w:color w:val="000000"/>
        <w:sz w:val="28"/>
        <w:szCs w:val="28"/>
      </w:rPr>
    </w:pPr>
    <w:r>
      <w:rPr>
        <w:rFonts w:ascii="Proxima Nova" w:hAnsi="Proxima Nova"/>
        <w:noProof/>
        <w:sz w:val="20"/>
      </w:rPr>
      <mc:AlternateContent>
        <mc:Choice Requires="wps">
          <w:drawing>
            <wp:anchor distT="4294967292" distB="4294967292" distL="114300" distR="114300" simplePos="0" relativeHeight="251676160" behindDoc="0" locked="0" layoutInCell="1" allowOverlap="1" wp14:anchorId="01D196ED" wp14:editId="3338AFED">
              <wp:simplePos x="0" y="0"/>
              <wp:positionH relativeFrom="column">
                <wp:posOffset>17780</wp:posOffset>
              </wp:positionH>
              <wp:positionV relativeFrom="paragraph">
                <wp:posOffset>281304</wp:posOffset>
              </wp:positionV>
              <wp:extent cx="4643755" cy="0"/>
              <wp:effectExtent l="0" t="0" r="4445" b="0"/>
              <wp:wrapNone/>
              <wp:docPr id="11"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1B0B3C" id="AutoShape 16" o:spid="_x0000_s1026" type="#_x0000_t32" style="position:absolute;margin-left:1.4pt;margin-top:22.15pt;width:365.65pt;height:0;z-index:2516761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"/>
          </w:pict>
        </mc:Fallback>
      </mc:AlternateContent>
    </w:r>
    <w:r>
      <w:rPr>
        <w:rFonts w:ascii="Proxima Nova" w:hAnsi="Proxima Nova"/>
        <w:color w:val="000000"/>
        <w:sz w:val="32"/>
      </w:rPr>
      <w:t xml:space="preserve">Comunicato stampa </w:t>
    </w:r>
    <w:r>
      <w:rPr>
        <w:rFonts w:ascii="Proxima Nova" w:hAnsi="Proxima Nova"/>
        <w:color w:val="000000"/>
        <w:sz w:val="32"/>
      </w:rPr>
      <w:tab/>
    </w:r>
    <w:r>
      <w:rPr>
        <w:rFonts w:ascii="Proxima Nova" w:hAnsi="Proxima Nova"/>
        <w:color w:val="000000"/>
        <w:sz w:val="28"/>
      </w:rPr>
      <w:tab/>
    </w:r>
    <w:r>
      <w:rPr>
        <w:rFonts w:ascii="Proxima Nova" w:hAnsi="Proxima Nova"/>
        <w:color w:val="000000"/>
        <w:sz w:val="28"/>
      </w:rPr>
      <w:tab/>
    </w:r>
    <w:r>
      <w:rPr>
        <w:rFonts w:ascii="Proxima Nova" w:hAnsi="Proxima Nova"/>
        <w:color w:val="000000"/>
        <w:sz w:val="28"/>
      </w:rPr>
      <w:tab/>
    </w:r>
    <w:r>
      <w:rPr>
        <w:rFonts w:ascii="Proxima Nova" w:hAnsi="Proxima Nova"/>
        <w:color w:val="000000"/>
        <w:sz w:val="28"/>
      </w:rPr>
      <w:tab/>
    </w:r>
  </w:p>
  <w:p w14:paraId="423C22B6" w14:textId="30D8D6EF" w:rsidR="00F81272" w:rsidRPr="00A17DCE" w:rsidRDefault="00F81272" w:rsidP="00F81272">
    <w:pPr>
      <w:spacing w:before="320" w:after="0" w:line="240" w:lineRule="auto"/>
      <w:rPr>
        <w:rFonts w:ascii="Open Sans" w:hAnsi="Open Sans" w:cs="Open Sans"/>
        <w:color w:val="000000"/>
        <w:sz w:val="20"/>
        <w:szCs w:val="20"/>
      </w:rPr>
    </w:pPr>
    <w:r>
      <w:rPr>
        <w:rFonts w:ascii="Open Sans" w:hAnsi="Open Sans"/>
        <w:color w:val="000000"/>
        <w:sz w:val="20"/>
      </w:rPr>
      <w:t xml:space="preserve">Auenwald, </w:t>
    </w:r>
    <w:r>
      <w:rPr>
        <w:noProof/>
      </w:rPr>
      <mc:AlternateContent>
        <mc:Choice Requires="wps">
          <w:drawing>
            <wp:anchor distT="0" distB="0" distL="114300" distR="114300" simplePos="0" relativeHeight="251674112" behindDoc="0" locked="0" layoutInCell="1" allowOverlap="1" wp14:anchorId="6097A11E" wp14:editId="6B434E11">
              <wp:simplePos x="0" y="0"/>
              <wp:positionH relativeFrom="page">
                <wp:posOffset>107950</wp:posOffset>
              </wp:positionH>
              <wp:positionV relativeFrom="page">
                <wp:posOffset>7560945</wp:posOffset>
              </wp:positionV>
              <wp:extent cx="14605" cy="14605"/>
              <wp:effectExtent l="0" t="0" r="0" b="0"/>
              <wp:wrapNone/>
              <wp:docPr id="10"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7F37CED" id="Oval 12" o:spid="_x0000_s1026" style="position:absolute;margin-left:8.5pt;margin-top:595.35pt;width:1.15pt;height:1.15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" fillcolor="#bf3922" stroked="f">
              <w10:wrap anchorx="page" anchory="page"/>
            </v:oval>
          </w:pict>
        </mc:Fallback>
      </mc:AlternateContent>
    </w:r>
    <w:r>
      <w:rPr>
        <w:noProof/>
      </w:rPr>
      <mc:AlternateContent>
        <mc:Choice Requires="wps">
          <w:drawing>
            <wp:anchor distT="0" distB="0" distL="114300" distR="114300" simplePos="0" relativeHeight="251675136" behindDoc="0" locked="0" layoutInCell="1" allowOverlap="1" wp14:anchorId="340CDD62" wp14:editId="63C39384">
              <wp:simplePos x="0" y="0"/>
              <wp:positionH relativeFrom="page">
                <wp:posOffset>144145</wp:posOffset>
              </wp:positionH>
              <wp:positionV relativeFrom="page">
                <wp:posOffset>7560945</wp:posOffset>
              </wp:positionV>
              <wp:extent cx="14605" cy="14605"/>
              <wp:effectExtent l="0" t="0" r="0" b="0"/>
              <wp:wrapNone/>
              <wp:docPr id="9"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4440F8F" id="Oval 13" o:spid="_x0000_s1026" style="position:absolute;margin-left:11.35pt;margin-top:595.35pt;width:1.15pt;height:1.1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" fillcolor="#bf3922" stroked="f">
              <w10:wrap anchorx="page" anchory="page"/>
            </v:oval>
          </w:pict>
        </mc:Fallback>
      </mc:AlternateContent>
    </w:r>
    <w:r>
      <w:rPr>
        <w:noProof/>
      </w:rPr>
      <mc:AlternateContent>
        <mc:Choice Requires="wps">
          <w:drawing>
            <wp:anchor distT="4294967292" distB="4294967292" distL="114300" distR="114300" simplePos="0" relativeHeight="251673088" behindDoc="0" locked="0" layoutInCell="1" allowOverlap="1" wp14:anchorId="6C95CF24" wp14:editId="4F2B2D0D">
              <wp:simplePos x="0" y="0"/>
              <wp:positionH relativeFrom="page">
                <wp:posOffset>0</wp:posOffset>
              </wp:positionH>
              <wp:positionV relativeFrom="page">
                <wp:posOffset>3960494</wp:posOffset>
              </wp:positionV>
              <wp:extent cx="179705" cy="0"/>
              <wp:effectExtent l="0" t="0" r="10795" b="0"/>
              <wp:wrapNone/>
              <wp:docPr id="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C82719" id="AutoShape 11" o:spid="_x0000_s1026" type="#_x0000_t32" style="position:absolute;margin-left:0;margin-top:311.85pt;width:14.15pt;height:0;z-index:251673088;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" strokecolor="#bf3922" strokeweight=".5pt">
              <w10:wrap anchorx="page" anchory="page"/>
            </v:shape>
          </w:pict>
        </mc:Fallback>
      </mc:AlternateContent>
    </w:r>
    <w:r w:rsidR="00231E6C">
      <w:rPr>
        <w:rFonts w:ascii="Open Sans" w:hAnsi="Open Sans" w:cs="Open Sans"/>
        <w:color w:val="000000"/>
        <w:sz w:val="20"/>
      </w:rPr>
      <w:t>25.10.2022</w:t>
    </w:r>
  </w:p>
  <w:p w14:paraId="180C7504" w14:textId="77777777" w:rsidR="004437D1" w:rsidRDefault="004437D1" w:rsidP="00766F3F">
    <w:pPr>
      <w:pStyle w:val="Kopfzeile"/>
      <w:ind w:left="1416"/>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188FF" w14:textId="77777777" w:rsidR="00A73794" w:rsidRPr="00CA5540" w:rsidRDefault="00A73794" w:rsidP="00A73794">
    <w:pPr>
      <w:rPr>
        <w:rFonts w:ascii="Antenna Bold" w:hAnsi="Antenna Bold"/>
        <w:b/>
        <w:color w:val="000000"/>
        <w:sz w:val="28"/>
        <w:szCs w:val="28"/>
      </w:rPr>
    </w:pPr>
    <w:r>
      <w:rPr>
        <w:rFonts w:ascii="Antenna Bold" w:hAnsi="Antenna Bold"/>
        <w:b/>
        <w:color w:val="000000"/>
        <w:sz w:val="28"/>
      </w:rPr>
      <w:br/>
      <w:t>Comunicato stampa</w:t>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p>
  <w:p w14:paraId="051176FB" w14:textId="50B18DE9" w:rsidR="00A73794" w:rsidRPr="00D31AEA" w:rsidRDefault="004B7D6A" w:rsidP="00D31AEA">
    <w:pPr>
      <w:spacing w:before="320" w:after="0" w:line="240" w:lineRule="auto"/>
      <w:rPr>
        <w:rFonts w:ascii="Antenna Light" w:hAnsi="Antenna Light"/>
        <w:color w:val="000000"/>
        <w:sz w:val="20"/>
      </w:rPr>
    </w:pPr>
    <w:r>
      <w:rPr>
        <w:rFonts w:ascii="Antenna Light" w:hAnsi="Antenna Light"/>
        <w:noProof/>
        <w:color w:val="000000"/>
        <w:sz w:val="20"/>
      </w:rPr>
      <mc:AlternateContent>
        <mc:Choice Requires="wps">
          <w:drawing>
            <wp:anchor distT="0" distB="0" distL="114300" distR="114300" simplePos="0" relativeHeight="251671040" behindDoc="0" locked="0" layoutInCell="1" allowOverlap="1" wp14:anchorId="4A38906A" wp14:editId="46F218E3">
              <wp:simplePos x="0" y="0"/>
              <wp:positionH relativeFrom="column">
                <wp:posOffset>2540</wp:posOffset>
              </wp:positionH>
              <wp:positionV relativeFrom="paragraph">
                <wp:posOffset>-635</wp:posOffset>
              </wp:positionV>
              <wp:extent cx="4643755" cy="0"/>
              <wp:effectExtent l="12065" t="8890" r="11430" b="10160"/>
              <wp:wrapNone/>
              <wp:docPr id="7"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9DDDE87" id="_x0000_t32" coordsize="21600,21600" o:spt="32" o:oned="t" path="m,l21600,21600e" filled="f">
              <v:path arrowok="t" fillok="f" o:connecttype="none"/>
              <o:lock v:ext="edit" shapetype="t"/>
            </v:shapetype>
            <v:shape id="AutoShape 16" o:spid="_x0000_s1026" type="#_x0000_t32" style="position:absolute;margin-left:.2pt;margin-top:-.05pt;width:365.65pt;height:0;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"/>
          </w:pict>
        </mc:Fallback>
      </mc:AlternateContent>
    </w:r>
    <w:r>
      <w:rPr>
        <w:rFonts w:ascii="Antenna Light" w:hAnsi="Antenna Light"/>
        <w:color w:val="000000"/>
        <w:sz w:val="20"/>
      </w:rPr>
      <w:t>Auenwald, 12/08/2015</w:t>
    </w:r>
    <w:r>
      <w:rPr>
        <w:rFonts w:asciiTheme="minorHAnsi" w:hAnsiTheme="minorHAnsi"/>
        <w:noProof/>
      </w:rPr>
      <mc:AlternateContent>
        <mc:Choice Requires="wps">
          <w:drawing>
            <wp:anchor distT="0" distB="0" distL="114300" distR="114300" simplePos="0" relativeHeight="251667968" behindDoc="0" locked="0" layoutInCell="1" allowOverlap="1" wp14:anchorId="7709018E" wp14:editId="7FD603EF">
              <wp:simplePos x="0" y="0"/>
              <wp:positionH relativeFrom="page">
                <wp:posOffset>107950</wp:posOffset>
              </wp:positionH>
              <wp:positionV relativeFrom="page">
                <wp:posOffset>7560945</wp:posOffset>
              </wp:positionV>
              <wp:extent cx="14605" cy="14605"/>
              <wp:effectExtent l="3175" t="7620" r="1270" b="6350"/>
              <wp:wrapNone/>
              <wp:docPr id="6"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699ABB" id="Oval 12" o:spid="_x0000_s1026" style="position:absolute;margin-left:8.5pt;margin-top:595.35pt;width:1.15pt;height:1.1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" fillcolor="#bf3922" stroked="f">
              <w10:wrap anchorx="page" anchory="page"/>
            </v:oval>
          </w:pict>
        </mc:Fallback>
      </mc:AlternateContent>
    </w:r>
    <w:r>
      <w:rPr>
        <w:rFonts w:asciiTheme="minorHAnsi" w:hAnsiTheme="minorHAnsi"/>
        <w:noProof/>
      </w:rPr>
      <mc:AlternateContent>
        <mc:Choice Requires="wps">
          <w:drawing>
            <wp:anchor distT="0" distB="0" distL="114300" distR="114300" simplePos="0" relativeHeight="251668992" behindDoc="0" locked="0" layoutInCell="1" allowOverlap="1" wp14:anchorId="2F8D96A1" wp14:editId="6912AFDA">
              <wp:simplePos x="0" y="0"/>
              <wp:positionH relativeFrom="page">
                <wp:posOffset>144145</wp:posOffset>
              </wp:positionH>
              <wp:positionV relativeFrom="page">
                <wp:posOffset>7560945</wp:posOffset>
              </wp:positionV>
              <wp:extent cx="14605" cy="14605"/>
              <wp:effectExtent l="1270" t="7620" r="3175" b="6350"/>
              <wp:wrapNone/>
              <wp:docPr id="5"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9EFDE84" id="Oval 13" o:spid="_x0000_s1026" style="position:absolute;margin-left:11.35pt;margin-top:595.35pt;width:1.15pt;height:1.1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" fillcolor="#bf3922" stroked="f">
              <w10:wrap anchorx="page" anchory="page"/>
            </v:oval>
          </w:pict>
        </mc:Fallback>
      </mc:AlternateContent>
    </w:r>
    <w:r>
      <w:rPr>
        <w:rFonts w:asciiTheme="minorHAnsi" w:hAnsiTheme="minorHAnsi"/>
        <w:noProof/>
      </w:rPr>
      <mc:AlternateContent>
        <mc:Choice Requires="wps">
          <w:drawing>
            <wp:anchor distT="0" distB="0" distL="114300" distR="114300" simplePos="0" relativeHeight="251666944" behindDoc="0" locked="0" layoutInCell="1" allowOverlap="1" wp14:anchorId="65D863A5" wp14:editId="0DE0DCEB">
              <wp:simplePos x="0" y="0"/>
              <wp:positionH relativeFrom="page">
                <wp:posOffset>0</wp:posOffset>
              </wp:positionH>
              <wp:positionV relativeFrom="page">
                <wp:posOffset>3960495</wp:posOffset>
              </wp:positionV>
              <wp:extent cx="179705" cy="0"/>
              <wp:effectExtent l="9525" t="7620" r="10795" b="11430"/>
              <wp:wrapNone/>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EE71CB" id="AutoShape 11" o:spid="_x0000_s1026" type="#_x0000_t32" style="position:absolute;margin-left:0;margin-top:311.85pt;width:14.15pt;height:0;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" strokecolor="#bf3922" strokeweight=".5pt">
              <w10:wrap anchorx="page" anchory="page"/>
            </v:shape>
          </w:pict>
        </mc:Fallback>
      </mc:AlternateContent>
    </w:r>
    <w:r>
      <w:rPr>
        <w:noProof/>
      </w:rPr>
      <w:drawing>
        <wp:anchor distT="0" distB="0" distL="114300" distR="114300" simplePos="0" relativeHeight="251657728" behindDoc="0" locked="1" layoutInCell="0" allowOverlap="1" wp14:anchorId="3973A3E2" wp14:editId="2462E102">
          <wp:simplePos x="0" y="0"/>
          <wp:positionH relativeFrom="leftMargin">
            <wp:posOffset>5992495</wp:posOffset>
          </wp:positionH>
          <wp:positionV relativeFrom="topMargin">
            <wp:posOffset>647700</wp:posOffset>
          </wp:positionV>
          <wp:extent cx="1300480" cy="500380"/>
          <wp:effectExtent l="19050" t="0" r="0" b="0"/>
          <wp:wrapNone/>
          <wp:docPr id="1" name="Grafik 0" descr="Lorch-Log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rch-Logo-r.jpg"/>
                  <pic:cNvPicPr/>
                </pic:nvPicPr>
                <pic:blipFill>
                  <a:blip r:embed="rId1"/>
                  <a:stretch>
                    <a:fillRect/>
                  </a:stretch>
                </pic:blipFill>
                <pic:spPr>
                  <a:xfrm>
                    <a:off x="0" y="0"/>
                    <a:ext cx="1300480" cy="50038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93425"/>
    <w:multiLevelType w:val="hybridMultilevel"/>
    <w:tmpl w:val="7B5C1ED2"/>
    <w:lvl w:ilvl="0" w:tplc="4412F0B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05E1576"/>
    <w:multiLevelType w:val="hybridMultilevel"/>
    <w:tmpl w:val="DB002502"/>
    <w:lvl w:ilvl="0" w:tplc="5D6A3B2E">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64B6816"/>
    <w:multiLevelType w:val="hybridMultilevel"/>
    <w:tmpl w:val="B35E984A"/>
    <w:lvl w:ilvl="0" w:tplc="42702458">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DD95C84"/>
    <w:multiLevelType w:val="hybridMultilevel"/>
    <w:tmpl w:val="29948F78"/>
    <w:lvl w:ilvl="0" w:tplc="43580760">
      <w:start w:val="26"/>
      <w:numFmt w:val="bullet"/>
      <w:lvlText w:val=""/>
      <w:lvlJc w:val="left"/>
      <w:pPr>
        <w:ind w:left="720" w:hanging="360"/>
      </w:pPr>
      <w:rPr>
        <w:rFonts w:ascii="Wingdings" w:eastAsia="Calibri" w:hAnsi="Wingdings" w:cs="Open San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D80763D"/>
    <w:multiLevelType w:val="hybridMultilevel"/>
    <w:tmpl w:val="5AE8F2A0"/>
    <w:lvl w:ilvl="0" w:tplc="B74EB94E">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679886674">
    <w:abstractNumId w:val="1"/>
  </w:num>
  <w:num w:numId="2" w16cid:durableId="1350524193">
    <w:abstractNumId w:val="2"/>
  </w:num>
  <w:num w:numId="3" w16cid:durableId="1919166736">
    <w:abstractNumId w:val="0"/>
  </w:num>
  <w:num w:numId="4" w16cid:durableId="67658010">
    <w:abstractNumId w:val="4"/>
  </w:num>
  <w:num w:numId="5" w16cid:durableId="8437900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68E"/>
    <w:rsid w:val="00005AC8"/>
    <w:rsid w:val="00013B8E"/>
    <w:rsid w:val="00017DE3"/>
    <w:rsid w:val="0002043F"/>
    <w:rsid w:val="000236C0"/>
    <w:rsid w:val="00024D7E"/>
    <w:rsid w:val="000274FB"/>
    <w:rsid w:val="000313EE"/>
    <w:rsid w:val="00035552"/>
    <w:rsid w:val="000373CC"/>
    <w:rsid w:val="00040D49"/>
    <w:rsid w:val="000416FB"/>
    <w:rsid w:val="00044891"/>
    <w:rsid w:val="0004561F"/>
    <w:rsid w:val="000472B5"/>
    <w:rsid w:val="000516E5"/>
    <w:rsid w:val="00052CD6"/>
    <w:rsid w:val="000538D3"/>
    <w:rsid w:val="00054302"/>
    <w:rsid w:val="00057D12"/>
    <w:rsid w:val="0006190F"/>
    <w:rsid w:val="000636B2"/>
    <w:rsid w:val="000677ED"/>
    <w:rsid w:val="00067CBC"/>
    <w:rsid w:val="00070A78"/>
    <w:rsid w:val="00072DA0"/>
    <w:rsid w:val="000731B5"/>
    <w:rsid w:val="00083FE3"/>
    <w:rsid w:val="00084070"/>
    <w:rsid w:val="00087EFD"/>
    <w:rsid w:val="000A064B"/>
    <w:rsid w:val="000A1E97"/>
    <w:rsid w:val="000A2C2C"/>
    <w:rsid w:val="000A4A3B"/>
    <w:rsid w:val="000B3654"/>
    <w:rsid w:val="000B50BC"/>
    <w:rsid w:val="000C1181"/>
    <w:rsid w:val="000C2152"/>
    <w:rsid w:val="000D02CC"/>
    <w:rsid w:val="000D08CB"/>
    <w:rsid w:val="000D2B65"/>
    <w:rsid w:val="000D2E04"/>
    <w:rsid w:val="000E0084"/>
    <w:rsid w:val="000E4494"/>
    <w:rsid w:val="000E77E3"/>
    <w:rsid w:val="000F4E8A"/>
    <w:rsid w:val="000F55E5"/>
    <w:rsid w:val="000F5839"/>
    <w:rsid w:val="00100DB3"/>
    <w:rsid w:val="0010343E"/>
    <w:rsid w:val="00105046"/>
    <w:rsid w:val="00105758"/>
    <w:rsid w:val="001100E3"/>
    <w:rsid w:val="001126E8"/>
    <w:rsid w:val="0011342A"/>
    <w:rsid w:val="001144C6"/>
    <w:rsid w:val="00117BD2"/>
    <w:rsid w:val="001220AE"/>
    <w:rsid w:val="001236A7"/>
    <w:rsid w:val="0012381E"/>
    <w:rsid w:val="0012484D"/>
    <w:rsid w:val="00140A0E"/>
    <w:rsid w:val="001453C4"/>
    <w:rsid w:val="00145B2A"/>
    <w:rsid w:val="00146354"/>
    <w:rsid w:val="00162D31"/>
    <w:rsid w:val="00162F4A"/>
    <w:rsid w:val="00163239"/>
    <w:rsid w:val="0017215B"/>
    <w:rsid w:val="001723B5"/>
    <w:rsid w:val="00172EDA"/>
    <w:rsid w:val="0017318D"/>
    <w:rsid w:val="00174009"/>
    <w:rsid w:val="00174F90"/>
    <w:rsid w:val="00180395"/>
    <w:rsid w:val="00190A66"/>
    <w:rsid w:val="00190BC1"/>
    <w:rsid w:val="00191D52"/>
    <w:rsid w:val="001A204E"/>
    <w:rsid w:val="001B1165"/>
    <w:rsid w:val="001B1883"/>
    <w:rsid w:val="001B30BA"/>
    <w:rsid w:val="001B67B5"/>
    <w:rsid w:val="001B76B5"/>
    <w:rsid w:val="001F0361"/>
    <w:rsid w:val="001F7416"/>
    <w:rsid w:val="00206AB4"/>
    <w:rsid w:val="0021249C"/>
    <w:rsid w:val="00217428"/>
    <w:rsid w:val="00220EAA"/>
    <w:rsid w:val="00231E6C"/>
    <w:rsid w:val="00235FBF"/>
    <w:rsid w:val="00236A10"/>
    <w:rsid w:val="00241335"/>
    <w:rsid w:val="00244725"/>
    <w:rsid w:val="00246673"/>
    <w:rsid w:val="00247605"/>
    <w:rsid w:val="00250831"/>
    <w:rsid w:val="00253BF5"/>
    <w:rsid w:val="0025429A"/>
    <w:rsid w:val="0026104B"/>
    <w:rsid w:val="0026129F"/>
    <w:rsid w:val="002628DF"/>
    <w:rsid w:val="00265414"/>
    <w:rsid w:val="00265D24"/>
    <w:rsid w:val="00282742"/>
    <w:rsid w:val="00290E6D"/>
    <w:rsid w:val="00291473"/>
    <w:rsid w:val="00294B48"/>
    <w:rsid w:val="00294D1E"/>
    <w:rsid w:val="002A413E"/>
    <w:rsid w:val="002A7D2B"/>
    <w:rsid w:val="002B05B6"/>
    <w:rsid w:val="002B7909"/>
    <w:rsid w:val="002D04E0"/>
    <w:rsid w:val="002E3BA3"/>
    <w:rsid w:val="002E3F6B"/>
    <w:rsid w:val="002F2DF0"/>
    <w:rsid w:val="002F61BC"/>
    <w:rsid w:val="00301BCF"/>
    <w:rsid w:val="00306925"/>
    <w:rsid w:val="00306CBC"/>
    <w:rsid w:val="003117BF"/>
    <w:rsid w:val="003169B4"/>
    <w:rsid w:val="003170EE"/>
    <w:rsid w:val="00317AEF"/>
    <w:rsid w:val="0032123A"/>
    <w:rsid w:val="003220C5"/>
    <w:rsid w:val="00331384"/>
    <w:rsid w:val="00333181"/>
    <w:rsid w:val="0033355C"/>
    <w:rsid w:val="00334008"/>
    <w:rsid w:val="00334C0E"/>
    <w:rsid w:val="0033708E"/>
    <w:rsid w:val="0033771C"/>
    <w:rsid w:val="00340206"/>
    <w:rsid w:val="00342627"/>
    <w:rsid w:val="003464B9"/>
    <w:rsid w:val="003469F9"/>
    <w:rsid w:val="00350AB2"/>
    <w:rsid w:val="00352AD8"/>
    <w:rsid w:val="00353785"/>
    <w:rsid w:val="003538EB"/>
    <w:rsid w:val="003601E5"/>
    <w:rsid w:val="003622DD"/>
    <w:rsid w:val="00372D54"/>
    <w:rsid w:val="00374715"/>
    <w:rsid w:val="00375951"/>
    <w:rsid w:val="0038026C"/>
    <w:rsid w:val="00382ED0"/>
    <w:rsid w:val="00383375"/>
    <w:rsid w:val="00384426"/>
    <w:rsid w:val="0038667C"/>
    <w:rsid w:val="003869D1"/>
    <w:rsid w:val="00390251"/>
    <w:rsid w:val="003937D3"/>
    <w:rsid w:val="00397055"/>
    <w:rsid w:val="0039739F"/>
    <w:rsid w:val="00397AB6"/>
    <w:rsid w:val="003A411B"/>
    <w:rsid w:val="003A5ED2"/>
    <w:rsid w:val="003A76D8"/>
    <w:rsid w:val="003B02C3"/>
    <w:rsid w:val="003B0B58"/>
    <w:rsid w:val="003B121E"/>
    <w:rsid w:val="003B4328"/>
    <w:rsid w:val="003B4823"/>
    <w:rsid w:val="003B7C70"/>
    <w:rsid w:val="003C13D2"/>
    <w:rsid w:val="003C22E5"/>
    <w:rsid w:val="003C724C"/>
    <w:rsid w:val="003D25BB"/>
    <w:rsid w:val="003D50E2"/>
    <w:rsid w:val="003E1BB8"/>
    <w:rsid w:val="003E6D81"/>
    <w:rsid w:val="003F7427"/>
    <w:rsid w:val="00401363"/>
    <w:rsid w:val="00402189"/>
    <w:rsid w:val="00402F9A"/>
    <w:rsid w:val="0040578B"/>
    <w:rsid w:val="004066F9"/>
    <w:rsid w:val="004124FA"/>
    <w:rsid w:val="0041334F"/>
    <w:rsid w:val="00415E92"/>
    <w:rsid w:val="00416000"/>
    <w:rsid w:val="004216E4"/>
    <w:rsid w:val="004219B9"/>
    <w:rsid w:val="00430EC2"/>
    <w:rsid w:val="0043565F"/>
    <w:rsid w:val="00436504"/>
    <w:rsid w:val="004437D1"/>
    <w:rsid w:val="004475A8"/>
    <w:rsid w:val="00450E9F"/>
    <w:rsid w:val="00450FE3"/>
    <w:rsid w:val="0045204A"/>
    <w:rsid w:val="00454C53"/>
    <w:rsid w:val="00456D33"/>
    <w:rsid w:val="00457341"/>
    <w:rsid w:val="00462F5C"/>
    <w:rsid w:val="00463281"/>
    <w:rsid w:val="004665B4"/>
    <w:rsid w:val="004675EC"/>
    <w:rsid w:val="00467F0D"/>
    <w:rsid w:val="004762DA"/>
    <w:rsid w:val="004767CC"/>
    <w:rsid w:val="00482CEE"/>
    <w:rsid w:val="0048563F"/>
    <w:rsid w:val="004856E8"/>
    <w:rsid w:val="00485953"/>
    <w:rsid w:val="00487540"/>
    <w:rsid w:val="00491001"/>
    <w:rsid w:val="004A24ED"/>
    <w:rsid w:val="004A35C2"/>
    <w:rsid w:val="004A634C"/>
    <w:rsid w:val="004A7064"/>
    <w:rsid w:val="004A76D3"/>
    <w:rsid w:val="004B22E0"/>
    <w:rsid w:val="004B3A0E"/>
    <w:rsid w:val="004B7D6A"/>
    <w:rsid w:val="004C2AD7"/>
    <w:rsid w:val="004C5878"/>
    <w:rsid w:val="004C7691"/>
    <w:rsid w:val="004C7BB5"/>
    <w:rsid w:val="004D0009"/>
    <w:rsid w:val="004D36FB"/>
    <w:rsid w:val="004D51D3"/>
    <w:rsid w:val="004E2BCC"/>
    <w:rsid w:val="004E33FA"/>
    <w:rsid w:val="004E36AB"/>
    <w:rsid w:val="004E4CDF"/>
    <w:rsid w:val="004E6F79"/>
    <w:rsid w:val="004F0F03"/>
    <w:rsid w:val="004F110B"/>
    <w:rsid w:val="004F2F97"/>
    <w:rsid w:val="00504D6B"/>
    <w:rsid w:val="00504E38"/>
    <w:rsid w:val="0050646E"/>
    <w:rsid w:val="0051205F"/>
    <w:rsid w:val="00513EC7"/>
    <w:rsid w:val="005140CD"/>
    <w:rsid w:val="005201A3"/>
    <w:rsid w:val="00522EA2"/>
    <w:rsid w:val="00523880"/>
    <w:rsid w:val="00531B0F"/>
    <w:rsid w:val="00535396"/>
    <w:rsid w:val="0054055E"/>
    <w:rsid w:val="005407CF"/>
    <w:rsid w:val="005409DE"/>
    <w:rsid w:val="00542731"/>
    <w:rsid w:val="0054322C"/>
    <w:rsid w:val="005470F3"/>
    <w:rsid w:val="00553ECC"/>
    <w:rsid w:val="0055647B"/>
    <w:rsid w:val="005573DC"/>
    <w:rsid w:val="00561B9D"/>
    <w:rsid w:val="00563451"/>
    <w:rsid w:val="0056400B"/>
    <w:rsid w:val="005652B6"/>
    <w:rsid w:val="005719A0"/>
    <w:rsid w:val="00571E00"/>
    <w:rsid w:val="005812AC"/>
    <w:rsid w:val="00584AD2"/>
    <w:rsid w:val="00586E3B"/>
    <w:rsid w:val="00587123"/>
    <w:rsid w:val="005908B8"/>
    <w:rsid w:val="0059235A"/>
    <w:rsid w:val="00593D96"/>
    <w:rsid w:val="005941A2"/>
    <w:rsid w:val="0059464B"/>
    <w:rsid w:val="005954AC"/>
    <w:rsid w:val="00595715"/>
    <w:rsid w:val="00596D13"/>
    <w:rsid w:val="005A2F7B"/>
    <w:rsid w:val="005A4468"/>
    <w:rsid w:val="005B4C0D"/>
    <w:rsid w:val="005B52EB"/>
    <w:rsid w:val="005B7F01"/>
    <w:rsid w:val="005C0E5C"/>
    <w:rsid w:val="005C2C44"/>
    <w:rsid w:val="005C2EFD"/>
    <w:rsid w:val="005C50EE"/>
    <w:rsid w:val="005C569E"/>
    <w:rsid w:val="005D23F4"/>
    <w:rsid w:val="005D407A"/>
    <w:rsid w:val="005D5708"/>
    <w:rsid w:val="005D61CD"/>
    <w:rsid w:val="005D6F47"/>
    <w:rsid w:val="005E114E"/>
    <w:rsid w:val="005E2E48"/>
    <w:rsid w:val="005E4771"/>
    <w:rsid w:val="005E6E55"/>
    <w:rsid w:val="005E7BBF"/>
    <w:rsid w:val="005F0E40"/>
    <w:rsid w:val="005F3A7D"/>
    <w:rsid w:val="005F5471"/>
    <w:rsid w:val="00604705"/>
    <w:rsid w:val="00611CE4"/>
    <w:rsid w:val="00616B87"/>
    <w:rsid w:val="00617EFF"/>
    <w:rsid w:val="00621904"/>
    <w:rsid w:val="0062316A"/>
    <w:rsid w:val="00624D90"/>
    <w:rsid w:val="00627C7B"/>
    <w:rsid w:val="0063778C"/>
    <w:rsid w:val="0064191F"/>
    <w:rsid w:val="00643B5B"/>
    <w:rsid w:val="00650792"/>
    <w:rsid w:val="006628CA"/>
    <w:rsid w:val="006639A8"/>
    <w:rsid w:val="00666244"/>
    <w:rsid w:val="0067051C"/>
    <w:rsid w:val="006741FF"/>
    <w:rsid w:val="00674668"/>
    <w:rsid w:val="00683BB4"/>
    <w:rsid w:val="00690887"/>
    <w:rsid w:val="00693420"/>
    <w:rsid w:val="00693B79"/>
    <w:rsid w:val="00694ACA"/>
    <w:rsid w:val="0069683B"/>
    <w:rsid w:val="006972E5"/>
    <w:rsid w:val="006973E8"/>
    <w:rsid w:val="006A05A8"/>
    <w:rsid w:val="006B07A8"/>
    <w:rsid w:val="006B1612"/>
    <w:rsid w:val="006B364F"/>
    <w:rsid w:val="006B430A"/>
    <w:rsid w:val="006C2BFE"/>
    <w:rsid w:val="006D4AAE"/>
    <w:rsid w:val="006D5205"/>
    <w:rsid w:val="006D65B0"/>
    <w:rsid w:val="006E4032"/>
    <w:rsid w:val="006E42AD"/>
    <w:rsid w:val="006E56C5"/>
    <w:rsid w:val="006E69B9"/>
    <w:rsid w:val="006F0C6B"/>
    <w:rsid w:val="006F3200"/>
    <w:rsid w:val="006F6659"/>
    <w:rsid w:val="006F7CCB"/>
    <w:rsid w:val="00701B8F"/>
    <w:rsid w:val="007041EB"/>
    <w:rsid w:val="007047D0"/>
    <w:rsid w:val="00711696"/>
    <w:rsid w:val="00714D35"/>
    <w:rsid w:val="00715674"/>
    <w:rsid w:val="007177A5"/>
    <w:rsid w:val="0072430A"/>
    <w:rsid w:val="007302C2"/>
    <w:rsid w:val="007313DE"/>
    <w:rsid w:val="0073617D"/>
    <w:rsid w:val="007365CF"/>
    <w:rsid w:val="0074382C"/>
    <w:rsid w:val="00751414"/>
    <w:rsid w:val="0076036E"/>
    <w:rsid w:val="00760474"/>
    <w:rsid w:val="007623EE"/>
    <w:rsid w:val="007639FA"/>
    <w:rsid w:val="00766F3F"/>
    <w:rsid w:val="007672A5"/>
    <w:rsid w:val="00771090"/>
    <w:rsid w:val="007715AF"/>
    <w:rsid w:val="00772862"/>
    <w:rsid w:val="007732F4"/>
    <w:rsid w:val="00776EF4"/>
    <w:rsid w:val="00780F29"/>
    <w:rsid w:val="007826CC"/>
    <w:rsid w:val="00782C5D"/>
    <w:rsid w:val="00783FD7"/>
    <w:rsid w:val="0078614C"/>
    <w:rsid w:val="007A064F"/>
    <w:rsid w:val="007A0E5D"/>
    <w:rsid w:val="007A1D9B"/>
    <w:rsid w:val="007A3A17"/>
    <w:rsid w:val="007A78C6"/>
    <w:rsid w:val="007B3616"/>
    <w:rsid w:val="007B5D05"/>
    <w:rsid w:val="007B634A"/>
    <w:rsid w:val="007B6DBC"/>
    <w:rsid w:val="007B7E3C"/>
    <w:rsid w:val="007C1A7F"/>
    <w:rsid w:val="007C43BF"/>
    <w:rsid w:val="007C4CE5"/>
    <w:rsid w:val="007C6924"/>
    <w:rsid w:val="007C7D18"/>
    <w:rsid w:val="007D1FB0"/>
    <w:rsid w:val="007D3B6F"/>
    <w:rsid w:val="007E055F"/>
    <w:rsid w:val="007E0A88"/>
    <w:rsid w:val="007E2939"/>
    <w:rsid w:val="007E316F"/>
    <w:rsid w:val="007F30EE"/>
    <w:rsid w:val="00802E1B"/>
    <w:rsid w:val="008109C1"/>
    <w:rsid w:val="0081148E"/>
    <w:rsid w:val="00814E2F"/>
    <w:rsid w:val="00815B05"/>
    <w:rsid w:val="00817DF2"/>
    <w:rsid w:val="00820698"/>
    <w:rsid w:val="008229AB"/>
    <w:rsid w:val="008241E2"/>
    <w:rsid w:val="00825A3D"/>
    <w:rsid w:val="00825D9E"/>
    <w:rsid w:val="00832877"/>
    <w:rsid w:val="00843695"/>
    <w:rsid w:val="008441D6"/>
    <w:rsid w:val="00844A51"/>
    <w:rsid w:val="008471F0"/>
    <w:rsid w:val="0085331F"/>
    <w:rsid w:val="008564DD"/>
    <w:rsid w:val="00856AB5"/>
    <w:rsid w:val="00857A7E"/>
    <w:rsid w:val="00861788"/>
    <w:rsid w:val="00866CE6"/>
    <w:rsid w:val="00870B06"/>
    <w:rsid w:val="00871130"/>
    <w:rsid w:val="0088146F"/>
    <w:rsid w:val="0088515A"/>
    <w:rsid w:val="00885218"/>
    <w:rsid w:val="00886BD8"/>
    <w:rsid w:val="00890746"/>
    <w:rsid w:val="008919C8"/>
    <w:rsid w:val="00893311"/>
    <w:rsid w:val="008950F8"/>
    <w:rsid w:val="008954BA"/>
    <w:rsid w:val="008A1315"/>
    <w:rsid w:val="008A2CF8"/>
    <w:rsid w:val="008A615F"/>
    <w:rsid w:val="008B04E8"/>
    <w:rsid w:val="008B30CC"/>
    <w:rsid w:val="008B491A"/>
    <w:rsid w:val="008C09C0"/>
    <w:rsid w:val="008C2BE6"/>
    <w:rsid w:val="008C574F"/>
    <w:rsid w:val="008C5D3B"/>
    <w:rsid w:val="008C769A"/>
    <w:rsid w:val="008C7A76"/>
    <w:rsid w:val="008D2849"/>
    <w:rsid w:val="008D4C16"/>
    <w:rsid w:val="008D74E1"/>
    <w:rsid w:val="008E55EE"/>
    <w:rsid w:val="008E5D51"/>
    <w:rsid w:val="008F0A34"/>
    <w:rsid w:val="008F4CF0"/>
    <w:rsid w:val="008F579C"/>
    <w:rsid w:val="0090311C"/>
    <w:rsid w:val="00904CC0"/>
    <w:rsid w:val="00904EA3"/>
    <w:rsid w:val="00906A9E"/>
    <w:rsid w:val="009257E1"/>
    <w:rsid w:val="00933094"/>
    <w:rsid w:val="00934CF2"/>
    <w:rsid w:val="00940C39"/>
    <w:rsid w:val="009519B1"/>
    <w:rsid w:val="00953090"/>
    <w:rsid w:val="009559A2"/>
    <w:rsid w:val="00955FF9"/>
    <w:rsid w:val="00957401"/>
    <w:rsid w:val="00957DB9"/>
    <w:rsid w:val="00961C62"/>
    <w:rsid w:val="009655AC"/>
    <w:rsid w:val="00971EB6"/>
    <w:rsid w:val="0097368E"/>
    <w:rsid w:val="00974316"/>
    <w:rsid w:val="0097747A"/>
    <w:rsid w:val="00982993"/>
    <w:rsid w:val="00982AB6"/>
    <w:rsid w:val="009914E8"/>
    <w:rsid w:val="009925C4"/>
    <w:rsid w:val="009946C3"/>
    <w:rsid w:val="009A24F2"/>
    <w:rsid w:val="009A4C1B"/>
    <w:rsid w:val="009A69A9"/>
    <w:rsid w:val="009B000C"/>
    <w:rsid w:val="009B0E69"/>
    <w:rsid w:val="009B4643"/>
    <w:rsid w:val="009B4D54"/>
    <w:rsid w:val="009B5679"/>
    <w:rsid w:val="009B5878"/>
    <w:rsid w:val="009B7341"/>
    <w:rsid w:val="009C0C0C"/>
    <w:rsid w:val="009C3A24"/>
    <w:rsid w:val="009C3FAD"/>
    <w:rsid w:val="009C415B"/>
    <w:rsid w:val="009C41FD"/>
    <w:rsid w:val="009C6B27"/>
    <w:rsid w:val="009C6BBE"/>
    <w:rsid w:val="009C7446"/>
    <w:rsid w:val="009D3014"/>
    <w:rsid w:val="009D4939"/>
    <w:rsid w:val="009D6690"/>
    <w:rsid w:val="009E2310"/>
    <w:rsid w:val="009E2AE8"/>
    <w:rsid w:val="009E3262"/>
    <w:rsid w:val="009E3BCD"/>
    <w:rsid w:val="009F12F8"/>
    <w:rsid w:val="009F7111"/>
    <w:rsid w:val="00A0185E"/>
    <w:rsid w:val="00A01FB5"/>
    <w:rsid w:val="00A1327B"/>
    <w:rsid w:val="00A138F9"/>
    <w:rsid w:val="00A14063"/>
    <w:rsid w:val="00A15936"/>
    <w:rsid w:val="00A17DCE"/>
    <w:rsid w:val="00A17FA4"/>
    <w:rsid w:val="00A23468"/>
    <w:rsid w:val="00A324AD"/>
    <w:rsid w:val="00A3321E"/>
    <w:rsid w:val="00A366D0"/>
    <w:rsid w:val="00A40CD3"/>
    <w:rsid w:val="00A44E87"/>
    <w:rsid w:val="00A45F9C"/>
    <w:rsid w:val="00A521FC"/>
    <w:rsid w:val="00A525A9"/>
    <w:rsid w:val="00A526AA"/>
    <w:rsid w:val="00A5608C"/>
    <w:rsid w:val="00A56A27"/>
    <w:rsid w:val="00A623E8"/>
    <w:rsid w:val="00A62573"/>
    <w:rsid w:val="00A62DCD"/>
    <w:rsid w:val="00A65266"/>
    <w:rsid w:val="00A675EF"/>
    <w:rsid w:val="00A71A7C"/>
    <w:rsid w:val="00A73794"/>
    <w:rsid w:val="00A7431F"/>
    <w:rsid w:val="00A7778A"/>
    <w:rsid w:val="00A807C2"/>
    <w:rsid w:val="00A86F17"/>
    <w:rsid w:val="00A91F7F"/>
    <w:rsid w:val="00A9347D"/>
    <w:rsid w:val="00A96653"/>
    <w:rsid w:val="00A9797E"/>
    <w:rsid w:val="00A97E27"/>
    <w:rsid w:val="00AB3BAD"/>
    <w:rsid w:val="00AB6BF1"/>
    <w:rsid w:val="00AC1D56"/>
    <w:rsid w:val="00AC3E56"/>
    <w:rsid w:val="00AC43C7"/>
    <w:rsid w:val="00AD1710"/>
    <w:rsid w:val="00AD1D59"/>
    <w:rsid w:val="00AD2252"/>
    <w:rsid w:val="00AD3F4C"/>
    <w:rsid w:val="00AD4118"/>
    <w:rsid w:val="00AD4FF8"/>
    <w:rsid w:val="00AE0323"/>
    <w:rsid w:val="00AE0C2A"/>
    <w:rsid w:val="00AE0CB0"/>
    <w:rsid w:val="00AE3086"/>
    <w:rsid w:val="00AE6756"/>
    <w:rsid w:val="00AE6D5E"/>
    <w:rsid w:val="00AE7ABF"/>
    <w:rsid w:val="00AF3176"/>
    <w:rsid w:val="00AF6B2F"/>
    <w:rsid w:val="00B0230F"/>
    <w:rsid w:val="00B02432"/>
    <w:rsid w:val="00B03712"/>
    <w:rsid w:val="00B05BDA"/>
    <w:rsid w:val="00B06BBF"/>
    <w:rsid w:val="00B07125"/>
    <w:rsid w:val="00B11F9B"/>
    <w:rsid w:val="00B12269"/>
    <w:rsid w:val="00B14133"/>
    <w:rsid w:val="00B14C72"/>
    <w:rsid w:val="00B22B89"/>
    <w:rsid w:val="00B27A05"/>
    <w:rsid w:val="00B30EE2"/>
    <w:rsid w:val="00B33D06"/>
    <w:rsid w:val="00B34882"/>
    <w:rsid w:val="00B34CAB"/>
    <w:rsid w:val="00B35E49"/>
    <w:rsid w:val="00B43686"/>
    <w:rsid w:val="00B452D6"/>
    <w:rsid w:val="00B46589"/>
    <w:rsid w:val="00B51229"/>
    <w:rsid w:val="00B52583"/>
    <w:rsid w:val="00B53BA5"/>
    <w:rsid w:val="00B54CF9"/>
    <w:rsid w:val="00B56B27"/>
    <w:rsid w:val="00B60BDC"/>
    <w:rsid w:val="00B60DD3"/>
    <w:rsid w:val="00B65005"/>
    <w:rsid w:val="00B666F0"/>
    <w:rsid w:val="00B7286F"/>
    <w:rsid w:val="00B7448E"/>
    <w:rsid w:val="00B748D4"/>
    <w:rsid w:val="00B75434"/>
    <w:rsid w:val="00B767ED"/>
    <w:rsid w:val="00B77296"/>
    <w:rsid w:val="00B81271"/>
    <w:rsid w:val="00B82B1E"/>
    <w:rsid w:val="00B908C2"/>
    <w:rsid w:val="00BA0706"/>
    <w:rsid w:val="00BA0C42"/>
    <w:rsid w:val="00BA103D"/>
    <w:rsid w:val="00BA7B22"/>
    <w:rsid w:val="00BA7E66"/>
    <w:rsid w:val="00BB5420"/>
    <w:rsid w:val="00BB6A94"/>
    <w:rsid w:val="00BC21CF"/>
    <w:rsid w:val="00BC325F"/>
    <w:rsid w:val="00BC4141"/>
    <w:rsid w:val="00BC5DAB"/>
    <w:rsid w:val="00BD02A6"/>
    <w:rsid w:val="00BD03C5"/>
    <w:rsid w:val="00BD05A0"/>
    <w:rsid w:val="00BD1658"/>
    <w:rsid w:val="00BD42B8"/>
    <w:rsid w:val="00BD5FD6"/>
    <w:rsid w:val="00BF3168"/>
    <w:rsid w:val="00BF58C4"/>
    <w:rsid w:val="00BF6436"/>
    <w:rsid w:val="00C04F03"/>
    <w:rsid w:val="00C05A61"/>
    <w:rsid w:val="00C07355"/>
    <w:rsid w:val="00C115A7"/>
    <w:rsid w:val="00C1326F"/>
    <w:rsid w:val="00C16D3A"/>
    <w:rsid w:val="00C30E0F"/>
    <w:rsid w:val="00C335E5"/>
    <w:rsid w:val="00C36CA3"/>
    <w:rsid w:val="00C46C15"/>
    <w:rsid w:val="00C47349"/>
    <w:rsid w:val="00C47536"/>
    <w:rsid w:val="00C47715"/>
    <w:rsid w:val="00C53668"/>
    <w:rsid w:val="00C5511D"/>
    <w:rsid w:val="00C55E6C"/>
    <w:rsid w:val="00C56F69"/>
    <w:rsid w:val="00C575D9"/>
    <w:rsid w:val="00C61A0D"/>
    <w:rsid w:val="00C62A10"/>
    <w:rsid w:val="00C633BC"/>
    <w:rsid w:val="00C7003A"/>
    <w:rsid w:val="00C77293"/>
    <w:rsid w:val="00C85C78"/>
    <w:rsid w:val="00C917D3"/>
    <w:rsid w:val="00C93826"/>
    <w:rsid w:val="00C9392F"/>
    <w:rsid w:val="00C95691"/>
    <w:rsid w:val="00C95DB8"/>
    <w:rsid w:val="00C97696"/>
    <w:rsid w:val="00CA0DAB"/>
    <w:rsid w:val="00CA2664"/>
    <w:rsid w:val="00CA3824"/>
    <w:rsid w:val="00CA781A"/>
    <w:rsid w:val="00CB2861"/>
    <w:rsid w:val="00CB2A7D"/>
    <w:rsid w:val="00CC7B37"/>
    <w:rsid w:val="00CD6C56"/>
    <w:rsid w:val="00CE02F7"/>
    <w:rsid w:val="00CE5B8C"/>
    <w:rsid w:val="00CF5699"/>
    <w:rsid w:val="00D01E0A"/>
    <w:rsid w:val="00D03E1A"/>
    <w:rsid w:val="00D03E88"/>
    <w:rsid w:val="00D14912"/>
    <w:rsid w:val="00D15AF5"/>
    <w:rsid w:val="00D16A90"/>
    <w:rsid w:val="00D206EE"/>
    <w:rsid w:val="00D24948"/>
    <w:rsid w:val="00D25945"/>
    <w:rsid w:val="00D26C28"/>
    <w:rsid w:val="00D30411"/>
    <w:rsid w:val="00D30844"/>
    <w:rsid w:val="00D31AEA"/>
    <w:rsid w:val="00D355AE"/>
    <w:rsid w:val="00D35DD7"/>
    <w:rsid w:val="00D3768E"/>
    <w:rsid w:val="00D43A07"/>
    <w:rsid w:val="00D44546"/>
    <w:rsid w:val="00D5610D"/>
    <w:rsid w:val="00D62454"/>
    <w:rsid w:val="00D63167"/>
    <w:rsid w:val="00D6321F"/>
    <w:rsid w:val="00D63498"/>
    <w:rsid w:val="00D65337"/>
    <w:rsid w:val="00D65D55"/>
    <w:rsid w:val="00D749CB"/>
    <w:rsid w:val="00D766EC"/>
    <w:rsid w:val="00D7703B"/>
    <w:rsid w:val="00D77165"/>
    <w:rsid w:val="00D77BB9"/>
    <w:rsid w:val="00D77F99"/>
    <w:rsid w:val="00D8300C"/>
    <w:rsid w:val="00D9089A"/>
    <w:rsid w:val="00D90B24"/>
    <w:rsid w:val="00D91BC4"/>
    <w:rsid w:val="00D97DC6"/>
    <w:rsid w:val="00DC050B"/>
    <w:rsid w:val="00DC1192"/>
    <w:rsid w:val="00DC11D8"/>
    <w:rsid w:val="00DC7B01"/>
    <w:rsid w:val="00DD66B6"/>
    <w:rsid w:val="00DE3B1C"/>
    <w:rsid w:val="00DE518E"/>
    <w:rsid w:val="00DE6B58"/>
    <w:rsid w:val="00DF10DF"/>
    <w:rsid w:val="00DF3D04"/>
    <w:rsid w:val="00E02FB3"/>
    <w:rsid w:val="00E11B05"/>
    <w:rsid w:val="00E12973"/>
    <w:rsid w:val="00E13043"/>
    <w:rsid w:val="00E146B4"/>
    <w:rsid w:val="00E265B4"/>
    <w:rsid w:val="00E27777"/>
    <w:rsid w:val="00E31A3A"/>
    <w:rsid w:val="00E32B27"/>
    <w:rsid w:val="00E37C15"/>
    <w:rsid w:val="00E4077B"/>
    <w:rsid w:val="00E53DEF"/>
    <w:rsid w:val="00E60181"/>
    <w:rsid w:val="00E632C4"/>
    <w:rsid w:val="00E63E32"/>
    <w:rsid w:val="00E76A96"/>
    <w:rsid w:val="00E8055D"/>
    <w:rsid w:val="00E8296A"/>
    <w:rsid w:val="00E82EDB"/>
    <w:rsid w:val="00E851F2"/>
    <w:rsid w:val="00E87EBA"/>
    <w:rsid w:val="00EA2796"/>
    <w:rsid w:val="00EB33EC"/>
    <w:rsid w:val="00EB4A6C"/>
    <w:rsid w:val="00EC14C3"/>
    <w:rsid w:val="00EC5A68"/>
    <w:rsid w:val="00ED013A"/>
    <w:rsid w:val="00ED0D6B"/>
    <w:rsid w:val="00ED5222"/>
    <w:rsid w:val="00EE01B1"/>
    <w:rsid w:val="00EE6051"/>
    <w:rsid w:val="00EE6A97"/>
    <w:rsid w:val="00EF6CD2"/>
    <w:rsid w:val="00EF7A23"/>
    <w:rsid w:val="00F00D4D"/>
    <w:rsid w:val="00F02DF0"/>
    <w:rsid w:val="00F03A33"/>
    <w:rsid w:val="00F11739"/>
    <w:rsid w:val="00F13F47"/>
    <w:rsid w:val="00F159CF"/>
    <w:rsid w:val="00F172BD"/>
    <w:rsid w:val="00F17DC4"/>
    <w:rsid w:val="00F231BA"/>
    <w:rsid w:val="00F27A33"/>
    <w:rsid w:val="00F3376E"/>
    <w:rsid w:val="00F33E3D"/>
    <w:rsid w:val="00F3630A"/>
    <w:rsid w:val="00F36771"/>
    <w:rsid w:val="00F37B5F"/>
    <w:rsid w:val="00F47863"/>
    <w:rsid w:val="00F504F5"/>
    <w:rsid w:val="00F5570A"/>
    <w:rsid w:val="00F55EE6"/>
    <w:rsid w:val="00F650B9"/>
    <w:rsid w:val="00F65819"/>
    <w:rsid w:val="00F674A9"/>
    <w:rsid w:val="00F70CA6"/>
    <w:rsid w:val="00F7151A"/>
    <w:rsid w:val="00F72F22"/>
    <w:rsid w:val="00F77982"/>
    <w:rsid w:val="00F80971"/>
    <w:rsid w:val="00F80BCB"/>
    <w:rsid w:val="00F80BD8"/>
    <w:rsid w:val="00F81272"/>
    <w:rsid w:val="00F83BEB"/>
    <w:rsid w:val="00F86260"/>
    <w:rsid w:val="00F87108"/>
    <w:rsid w:val="00F91B80"/>
    <w:rsid w:val="00FB5CE0"/>
    <w:rsid w:val="00FC394C"/>
    <w:rsid w:val="00FC7E84"/>
    <w:rsid w:val="00FD47A5"/>
    <w:rsid w:val="00FD4DC0"/>
    <w:rsid w:val="00FE2A58"/>
    <w:rsid w:val="00FE7697"/>
    <w:rsid w:val="00FF3310"/>
    <w:rsid w:val="00FF5CB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90256F"/>
  <w15:docId w15:val="{F884EA6F-F3F0-4704-AA33-0BE38B9F9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7368E"/>
    <w:rPr>
      <w:rFonts w:ascii="Calibri" w:eastAsia="Times New Roman" w:hAnsi="Calibri" w:cs="Times New Roman"/>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B365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B3654"/>
    <w:rPr>
      <w:rFonts w:ascii="Tahoma" w:hAnsi="Tahoma" w:cs="Tahoma"/>
      <w:sz w:val="16"/>
      <w:szCs w:val="16"/>
    </w:rPr>
  </w:style>
  <w:style w:type="character" w:styleId="Hyperlink">
    <w:name w:val="Hyperlink"/>
    <w:basedOn w:val="Absatz-Standardschriftart"/>
    <w:uiPriority w:val="99"/>
    <w:unhideWhenUsed/>
    <w:rsid w:val="000B3654"/>
    <w:rPr>
      <w:color w:val="0000FF" w:themeColor="hyperlink"/>
      <w:u w:val="single"/>
    </w:rPr>
  </w:style>
  <w:style w:type="paragraph" w:styleId="Kopfzeile">
    <w:name w:val="header"/>
    <w:basedOn w:val="Standard"/>
    <w:link w:val="KopfzeileZchn"/>
    <w:uiPriority w:val="99"/>
    <w:unhideWhenUsed/>
    <w:rsid w:val="0081148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1148E"/>
  </w:style>
  <w:style w:type="paragraph" w:styleId="Fuzeile">
    <w:name w:val="footer"/>
    <w:basedOn w:val="Standard"/>
    <w:link w:val="FuzeileZchn"/>
    <w:uiPriority w:val="99"/>
    <w:unhideWhenUsed/>
    <w:rsid w:val="0081148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1148E"/>
  </w:style>
  <w:style w:type="paragraph" w:customStyle="1" w:styleId="TextA">
    <w:name w:val="Text A"/>
    <w:rsid w:val="00D43A07"/>
    <w:pPr>
      <w:spacing w:after="0" w:line="240" w:lineRule="auto"/>
    </w:pPr>
    <w:rPr>
      <w:rFonts w:ascii="Helvetica" w:eastAsia="ヒラギノ角ゴ Pro W3" w:hAnsi="Helvetica" w:cs="Times New Roman"/>
      <w:color w:val="000000"/>
      <w:sz w:val="24"/>
      <w:szCs w:val="20"/>
      <w:lang w:eastAsia="de-DE"/>
    </w:rPr>
  </w:style>
  <w:style w:type="paragraph" w:styleId="NurText">
    <w:name w:val="Plain Text"/>
    <w:basedOn w:val="Standard"/>
    <w:link w:val="NurTextZchn"/>
    <w:uiPriority w:val="99"/>
    <w:unhideWhenUsed/>
    <w:rsid w:val="00F81272"/>
    <w:pPr>
      <w:spacing w:after="0" w:line="240" w:lineRule="auto"/>
    </w:pPr>
    <w:rPr>
      <w:rFonts w:ascii="Consolas" w:eastAsia="Calibri" w:hAnsi="Consolas"/>
      <w:sz w:val="21"/>
      <w:szCs w:val="21"/>
    </w:rPr>
  </w:style>
  <w:style w:type="character" w:customStyle="1" w:styleId="NurTextZchn">
    <w:name w:val="Nur Text Zchn"/>
    <w:basedOn w:val="Absatz-Standardschriftart"/>
    <w:link w:val="NurText"/>
    <w:uiPriority w:val="99"/>
    <w:rsid w:val="00F81272"/>
    <w:rPr>
      <w:rFonts w:ascii="Consolas" w:eastAsia="Calibri" w:hAnsi="Consolas" w:cs="Times New Roman"/>
      <w:sz w:val="21"/>
      <w:szCs w:val="21"/>
    </w:rPr>
  </w:style>
  <w:style w:type="character" w:customStyle="1" w:styleId="style-scope">
    <w:name w:val="style-scope"/>
    <w:basedOn w:val="Absatz-Standardschriftart"/>
    <w:rsid w:val="0097368E"/>
  </w:style>
  <w:style w:type="character" w:styleId="Kommentarzeichen">
    <w:name w:val="annotation reference"/>
    <w:basedOn w:val="Absatz-Standardschriftart"/>
    <w:uiPriority w:val="99"/>
    <w:semiHidden/>
    <w:unhideWhenUsed/>
    <w:rsid w:val="008D74E1"/>
    <w:rPr>
      <w:sz w:val="16"/>
      <w:szCs w:val="16"/>
    </w:rPr>
  </w:style>
  <w:style w:type="paragraph" w:styleId="Kommentartext">
    <w:name w:val="annotation text"/>
    <w:basedOn w:val="Standard"/>
    <w:link w:val="KommentartextZchn"/>
    <w:uiPriority w:val="99"/>
    <w:unhideWhenUsed/>
    <w:rsid w:val="008D74E1"/>
    <w:pPr>
      <w:spacing w:line="240" w:lineRule="auto"/>
    </w:pPr>
    <w:rPr>
      <w:sz w:val="20"/>
      <w:szCs w:val="20"/>
    </w:rPr>
  </w:style>
  <w:style w:type="character" w:customStyle="1" w:styleId="KommentartextZchn">
    <w:name w:val="Kommentartext Zchn"/>
    <w:basedOn w:val="Absatz-Standardschriftart"/>
    <w:link w:val="Kommentartext"/>
    <w:uiPriority w:val="99"/>
    <w:rsid w:val="008D74E1"/>
    <w:rPr>
      <w:rFonts w:ascii="Calibri" w:eastAsia="Times New Roman" w:hAnsi="Calibri"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8D74E1"/>
    <w:rPr>
      <w:b/>
      <w:bCs/>
    </w:rPr>
  </w:style>
  <w:style w:type="character" w:customStyle="1" w:styleId="KommentarthemaZchn">
    <w:name w:val="Kommentarthema Zchn"/>
    <w:basedOn w:val="KommentartextZchn"/>
    <w:link w:val="Kommentarthema"/>
    <w:uiPriority w:val="99"/>
    <w:semiHidden/>
    <w:rsid w:val="008D74E1"/>
    <w:rPr>
      <w:rFonts w:ascii="Calibri" w:eastAsia="Times New Roman" w:hAnsi="Calibri" w:cs="Times New Roman"/>
      <w:b/>
      <w:bCs/>
      <w:sz w:val="20"/>
      <w:szCs w:val="20"/>
      <w:lang w:eastAsia="de-DE"/>
    </w:rPr>
  </w:style>
  <w:style w:type="paragraph" w:styleId="berarbeitung">
    <w:name w:val="Revision"/>
    <w:hidden/>
    <w:uiPriority w:val="99"/>
    <w:semiHidden/>
    <w:rsid w:val="00693420"/>
    <w:pPr>
      <w:spacing w:after="0" w:line="240" w:lineRule="auto"/>
    </w:pPr>
    <w:rPr>
      <w:rFonts w:ascii="Calibri" w:eastAsia="Times New Roman" w:hAnsi="Calibri" w:cs="Times New Roman"/>
      <w:lang w:eastAsia="de-DE"/>
    </w:rPr>
  </w:style>
  <w:style w:type="character" w:customStyle="1" w:styleId="NichtaufgelsteErwhnung1">
    <w:name w:val="Nicht aufgelöste Erwähnung1"/>
    <w:basedOn w:val="Absatz-Standardschriftart"/>
    <w:uiPriority w:val="99"/>
    <w:semiHidden/>
    <w:unhideWhenUsed/>
    <w:rsid w:val="00B53BA5"/>
    <w:rPr>
      <w:color w:val="605E5C"/>
      <w:shd w:val="clear" w:color="auto" w:fill="E1DFDD"/>
    </w:rPr>
  </w:style>
  <w:style w:type="paragraph" w:styleId="StandardWeb">
    <w:name w:val="Normal (Web)"/>
    <w:basedOn w:val="Standard"/>
    <w:uiPriority w:val="99"/>
    <w:unhideWhenUsed/>
    <w:rsid w:val="004E2BCC"/>
    <w:pPr>
      <w:spacing w:before="100" w:beforeAutospacing="1" w:after="100" w:afterAutospacing="1" w:line="240" w:lineRule="auto"/>
    </w:pPr>
    <w:rPr>
      <w:rFonts w:ascii="Times New Roman" w:hAnsi="Times New Roman"/>
      <w:sz w:val="24"/>
      <w:szCs w:val="24"/>
    </w:rPr>
  </w:style>
  <w:style w:type="character" w:customStyle="1" w:styleId="NichtaufgelsteErwhnung2">
    <w:name w:val="Nicht aufgelöste Erwähnung2"/>
    <w:basedOn w:val="Absatz-Standardschriftart"/>
    <w:uiPriority w:val="99"/>
    <w:semiHidden/>
    <w:unhideWhenUsed/>
    <w:rsid w:val="000373CC"/>
    <w:rPr>
      <w:color w:val="605E5C"/>
      <w:shd w:val="clear" w:color="auto" w:fill="E1DFDD"/>
    </w:rPr>
  </w:style>
  <w:style w:type="character" w:styleId="BesuchterLink">
    <w:name w:val="FollowedHyperlink"/>
    <w:basedOn w:val="Absatz-Standardschriftart"/>
    <w:uiPriority w:val="99"/>
    <w:semiHidden/>
    <w:unhideWhenUsed/>
    <w:rsid w:val="000373CC"/>
    <w:rPr>
      <w:color w:val="800080" w:themeColor="followedHyperlink"/>
      <w:u w:val="single"/>
    </w:rPr>
  </w:style>
  <w:style w:type="character" w:styleId="NichtaufgelsteErwhnung">
    <w:name w:val="Unresolved Mention"/>
    <w:basedOn w:val="Absatz-Standardschriftart"/>
    <w:uiPriority w:val="99"/>
    <w:semiHidden/>
    <w:unhideWhenUsed/>
    <w:rsid w:val="001A204E"/>
    <w:rPr>
      <w:color w:val="605E5C"/>
      <w:shd w:val="clear" w:color="auto" w:fill="E1DFDD"/>
    </w:rPr>
  </w:style>
  <w:style w:type="character" w:customStyle="1" w:styleId="apple-converted-space">
    <w:name w:val="apple-converted-space"/>
    <w:basedOn w:val="Absatz-Standardschriftart"/>
    <w:rsid w:val="00B767ED"/>
  </w:style>
  <w:style w:type="paragraph" w:customStyle="1" w:styleId="Pa29">
    <w:name w:val="Pa29"/>
    <w:basedOn w:val="Standard"/>
    <w:next w:val="Standard"/>
    <w:uiPriority w:val="99"/>
    <w:rsid w:val="00C04F03"/>
    <w:pPr>
      <w:autoSpaceDE w:val="0"/>
      <w:autoSpaceDN w:val="0"/>
      <w:adjustRightInd w:val="0"/>
      <w:spacing w:after="0" w:line="261" w:lineRule="atLeast"/>
    </w:pPr>
    <w:rPr>
      <w:rFonts w:ascii="Proxima Nova Light" w:eastAsiaTheme="minorHAnsi" w:hAnsi="Proxima Nova Light" w:cstheme="minorBidi"/>
      <w:sz w:val="24"/>
      <w:szCs w:val="24"/>
      <w:lang w:eastAsia="en-US"/>
    </w:rPr>
  </w:style>
  <w:style w:type="paragraph" w:customStyle="1" w:styleId="Default">
    <w:name w:val="Default"/>
    <w:rsid w:val="004A35C2"/>
    <w:pPr>
      <w:autoSpaceDE w:val="0"/>
      <w:autoSpaceDN w:val="0"/>
      <w:adjustRightInd w:val="0"/>
      <w:spacing w:after="0" w:line="240" w:lineRule="auto"/>
    </w:pPr>
    <w:rPr>
      <w:rFonts w:ascii="Open Sans SemiBold" w:hAnsi="Open Sans SemiBold" w:cs="Open Sans SemiBold"/>
      <w:color w:val="000000"/>
      <w:sz w:val="24"/>
      <w:szCs w:val="24"/>
    </w:rPr>
  </w:style>
  <w:style w:type="paragraph" w:customStyle="1" w:styleId="Pa4">
    <w:name w:val="Pa4"/>
    <w:basedOn w:val="Default"/>
    <w:next w:val="Default"/>
    <w:uiPriority w:val="99"/>
    <w:rsid w:val="005E4771"/>
    <w:pPr>
      <w:spacing w:line="321" w:lineRule="atLeast"/>
    </w:pPr>
    <w:rPr>
      <w:rFonts w:ascii="Proxima Nova Light" w:hAnsi="Proxima Nova Light" w:cstheme="minorBidi"/>
      <w:color w:val="auto"/>
    </w:rPr>
  </w:style>
  <w:style w:type="paragraph" w:customStyle="1" w:styleId="Pa21">
    <w:name w:val="Pa21"/>
    <w:basedOn w:val="Default"/>
    <w:next w:val="Default"/>
    <w:uiPriority w:val="99"/>
    <w:rsid w:val="005E4771"/>
    <w:pPr>
      <w:spacing w:line="191" w:lineRule="atLeast"/>
    </w:pPr>
    <w:rPr>
      <w:rFonts w:ascii="Proxima Nova Light" w:hAnsi="Proxima Nova Light"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32003">
      <w:bodyDiv w:val="1"/>
      <w:marLeft w:val="0"/>
      <w:marRight w:val="0"/>
      <w:marTop w:val="0"/>
      <w:marBottom w:val="0"/>
      <w:divBdr>
        <w:top w:val="none" w:sz="0" w:space="0" w:color="auto"/>
        <w:left w:val="none" w:sz="0" w:space="0" w:color="auto"/>
        <w:bottom w:val="none" w:sz="0" w:space="0" w:color="auto"/>
        <w:right w:val="none" w:sz="0" w:space="0" w:color="auto"/>
      </w:divBdr>
    </w:div>
    <w:div w:id="295448340">
      <w:bodyDiv w:val="1"/>
      <w:marLeft w:val="0"/>
      <w:marRight w:val="0"/>
      <w:marTop w:val="0"/>
      <w:marBottom w:val="0"/>
      <w:divBdr>
        <w:top w:val="none" w:sz="0" w:space="0" w:color="auto"/>
        <w:left w:val="none" w:sz="0" w:space="0" w:color="auto"/>
        <w:bottom w:val="none" w:sz="0" w:space="0" w:color="auto"/>
        <w:right w:val="none" w:sz="0" w:space="0" w:color="auto"/>
      </w:divBdr>
    </w:div>
    <w:div w:id="614601818">
      <w:bodyDiv w:val="1"/>
      <w:marLeft w:val="0"/>
      <w:marRight w:val="0"/>
      <w:marTop w:val="0"/>
      <w:marBottom w:val="0"/>
      <w:divBdr>
        <w:top w:val="none" w:sz="0" w:space="0" w:color="auto"/>
        <w:left w:val="none" w:sz="0" w:space="0" w:color="auto"/>
        <w:bottom w:val="none" w:sz="0" w:space="0" w:color="auto"/>
        <w:right w:val="none" w:sz="0" w:space="0" w:color="auto"/>
      </w:divBdr>
    </w:div>
    <w:div w:id="758408752">
      <w:bodyDiv w:val="1"/>
      <w:marLeft w:val="0"/>
      <w:marRight w:val="0"/>
      <w:marTop w:val="0"/>
      <w:marBottom w:val="0"/>
      <w:divBdr>
        <w:top w:val="none" w:sz="0" w:space="0" w:color="auto"/>
        <w:left w:val="none" w:sz="0" w:space="0" w:color="auto"/>
        <w:bottom w:val="none" w:sz="0" w:space="0" w:color="auto"/>
        <w:right w:val="none" w:sz="0" w:space="0" w:color="auto"/>
      </w:divBdr>
    </w:div>
    <w:div w:id="834491028">
      <w:bodyDiv w:val="1"/>
      <w:marLeft w:val="0"/>
      <w:marRight w:val="0"/>
      <w:marTop w:val="0"/>
      <w:marBottom w:val="0"/>
      <w:divBdr>
        <w:top w:val="none" w:sz="0" w:space="0" w:color="auto"/>
        <w:left w:val="none" w:sz="0" w:space="0" w:color="auto"/>
        <w:bottom w:val="none" w:sz="0" w:space="0" w:color="auto"/>
        <w:right w:val="none" w:sz="0" w:space="0" w:color="auto"/>
      </w:divBdr>
      <w:divsChild>
        <w:div w:id="1852720684">
          <w:marLeft w:val="0"/>
          <w:marRight w:val="0"/>
          <w:marTop w:val="0"/>
          <w:marBottom w:val="0"/>
          <w:divBdr>
            <w:top w:val="none" w:sz="0" w:space="0" w:color="auto"/>
            <w:left w:val="none" w:sz="0" w:space="0" w:color="auto"/>
            <w:bottom w:val="none" w:sz="0" w:space="0" w:color="auto"/>
            <w:right w:val="none" w:sz="0" w:space="0" w:color="auto"/>
          </w:divBdr>
          <w:divsChild>
            <w:div w:id="1964731225">
              <w:marLeft w:val="0"/>
              <w:marRight w:val="0"/>
              <w:marTop w:val="0"/>
              <w:marBottom w:val="0"/>
              <w:divBdr>
                <w:top w:val="none" w:sz="0" w:space="0" w:color="auto"/>
                <w:left w:val="none" w:sz="0" w:space="0" w:color="auto"/>
                <w:bottom w:val="none" w:sz="0" w:space="0" w:color="auto"/>
                <w:right w:val="none" w:sz="0" w:space="0" w:color="auto"/>
              </w:divBdr>
              <w:divsChild>
                <w:div w:id="97769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589911">
      <w:bodyDiv w:val="1"/>
      <w:marLeft w:val="0"/>
      <w:marRight w:val="0"/>
      <w:marTop w:val="0"/>
      <w:marBottom w:val="0"/>
      <w:divBdr>
        <w:top w:val="none" w:sz="0" w:space="0" w:color="auto"/>
        <w:left w:val="none" w:sz="0" w:space="0" w:color="auto"/>
        <w:bottom w:val="none" w:sz="0" w:space="0" w:color="auto"/>
        <w:right w:val="none" w:sz="0" w:space="0" w:color="auto"/>
      </w:divBdr>
    </w:div>
    <w:div w:id="1938827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resse@lorch.eu"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52BD1880410CD54EB33428918D7F97BF" ma:contentTypeVersion="4" ma:contentTypeDescription="Ein neues Dokument erstellen." ma:contentTypeScope="" ma:versionID="f933321b188e128b3a1cd3396b81059c">
  <xsd:schema xmlns:xsd="http://www.w3.org/2001/XMLSchema" xmlns:xs="http://www.w3.org/2001/XMLSchema" xmlns:p="http://schemas.microsoft.com/office/2006/metadata/properties" xmlns:ns2="16ed6853-d52a-4d60-ab44-535210b1b156" xmlns:ns3="f7efd265-c981-42df-b6ca-48cb393702c6" targetNamespace="http://schemas.microsoft.com/office/2006/metadata/properties" ma:root="true" ma:fieldsID="22d6ae0dc7a25234b40b42caf0b42911" ns2:_="" ns3:_="">
    <xsd:import namespace="16ed6853-d52a-4d60-ab44-535210b1b156"/>
    <xsd:import namespace="f7efd265-c981-42df-b6ca-48cb393702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ed6853-d52a-4d60-ab44-535210b1b1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7efd265-c981-42df-b6ca-48cb393702c6"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2ECD4A0-8BEE-4584-9026-07A8899A2B7B}">
  <ds:schemaRefs>
    <ds:schemaRef ds:uri="http://schemas.openxmlformats.org/officeDocument/2006/bibliography"/>
  </ds:schemaRefs>
</ds:datastoreItem>
</file>

<file path=customXml/itemProps2.xml><?xml version="1.0" encoding="utf-8"?>
<ds:datastoreItem xmlns:ds="http://schemas.openxmlformats.org/officeDocument/2006/customXml" ds:itemID="{5804B2C1-3064-4D22-B188-7CD743A6413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7314252-27E7-4B3E-88FA-F193591C53E4}">
  <ds:schemaRefs>
    <ds:schemaRef ds:uri="http://schemas.microsoft.com/sharepoint/v3/contenttype/forms"/>
  </ds:schemaRefs>
</ds:datastoreItem>
</file>

<file path=customXml/itemProps4.xml><?xml version="1.0" encoding="utf-8"?>
<ds:datastoreItem xmlns:ds="http://schemas.openxmlformats.org/officeDocument/2006/customXml" ds:itemID="{20352047-2A75-45EB-9328-B607C4E1F2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ed6853-d52a-4d60-ab44-535210b1b156"/>
    <ds:schemaRef ds:uri="f7efd265-c981-42df-b6ca-48cb393702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894</Words>
  <Characters>5638</Characters>
  <Application>Microsoft Office Word</Application>
  <DocSecurity>0</DocSecurity>
  <Lines>46</Lines>
  <Paragraphs>13</Paragraphs>
  <ScaleCrop>false</ScaleCrop>
  <HeadingPairs>
    <vt:vector size="2" baseType="variant">
      <vt:variant>
        <vt:lpstr>Titel</vt:lpstr>
      </vt:variant>
      <vt:variant>
        <vt:i4>1</vt:i4>
      </vt:variant>
    </vt:vector>
  </HeadingPairs>
  <TitlesOfParts>
    <vt:vector size="1" baseType="lpstr">
      <vt:lpstr/>
    </vt:vector>
  </TitlesOfParts>
  <Company>Lorch Schweißtechnik GmbH</Company>
  <LinksUpToDate>false</LinksUpToDate>
  <CharactersWithSpaces>6519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Michler, Lisa</cp:lastModifiedBy>
  <cp:revision>5</cp:revision>
  <cp:lastPrinted>2022-10-12T12:06:00Z</cp:lastPrinted>
  <dcterms:created xsi:type="dcterms:W3CDTF">2022-10-12T14:38:00Z</dcterms:created>
  <dcterms:modified xsi:type="dcterms:W3CDTF">2022-10-18T10:14:00Z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0x01010052BD1880410CD54EB33428918D7F97BF</vt:lpwstr>
  </property>
</Properties>
</file>